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86452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64521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692247F3" w14:textId="301648BA" w:rsidR="00D87F40" w:rsidRPr="00864521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6452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"/>
        <w:gridCol w:w="5528"/>
        <w:gridCol w:w="86"/>
        <w:gridCol w:w="2978"/>
      </w:tblGrid>
      <w:tr w:rsidR="00864521" w:rsidRPr="00864521" w14:paraId="512BFDAD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1DDDA4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6B6CF2C7" w14:textId="77777777" w:rsidR="000A74CC" w:rsidRPr="00864521" w:rsidRDefault="005704FE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Instrumentalna analiza fazowa w praktyce</w:t>
            </w:r>
          </w:p>
          <w:p w14:paraId="1A1FCDEF" w14:textId="2BDAFE3D" w:rsidR="005704FE" w:rsidRPr="00864521" w:rsidRDefault="005704FE" w:rsidP="00156B7D">
            <w:pPr>
              <w:pStyle w:val="Bezodstpw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val="en-US" w:eastAsia="pl-PL"/>
              </w:rPr>
              <w:t>Instrumental phase analysis in practice</w:t>
            </w:r>
          </w:p>
        </w:tc>
      </w:tr>
      <w:tr w:rsidR="00864521" w:rsidRPr="00864521" w14:paraId="416C4A68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2AA36B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Dyscyplina  </w:t>
            </w:r>
          </w:p>
          <w:p w14:paraId="3CE1E71E" w14:textId="6225DF7D" w:rsidR="00C119E3" w:rsidRPr="00864521" w:rsidRDefault="00C119E3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864521" w:rsidRPr="00864521" w14:paraId="75094694" w14:textId="77777777" w:rsidTr="003B6C16">
        <w:trPr>
          <w:trHeight w:val="33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DEA2FF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Język wykładowy </w:t>
            </w:r>
          </w:p>
          <w:p w14:paraId="0885187E" w14:textId="1D4DFD5C" w:rsidR="00C119E3" w:rsidRPr="00864521" w:rsidRDefault="00C119E3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Język polski</w:t>
            </w:r>
          </w:p>
        </w:tc>
      </w:tr>
      <w:tr w:rsidR="00864521" w:rsidRPr="00864521" w14:paraId="535F89DE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03DA27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3079BA85" w:rsidR="00C119E3" w:rsidRPr="00864521" w:rsidRDefault="00C303B8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Wydział Nauk o Ziemi i Kształtowania Środowiska</w:t>
            </w:r>
            <w:r w:rsidR="00C119E3" w:rsidRPr="00864521">
              <w:rPr>
                <w:rFonts w:ascii="Verdana" w:hAnsi="Verdana"/>
                <w:sz w:val="20"/>
                <w:szCs w:val="20"/>
                <w:lang w:eastAsia="pl-PL"/>
              </w:rPr>
              <w:t>, I</w:t>
            </w:r>
            <w:r w:rsidR="00D230EF" w:rsidRPr="00864521">
              <w:rPr>
                <w:rFonts w:ascii="Verdana" w:hAnsi="Verdana"/>
                <w:sz w:val="20"/>
                <w:szCs w:val="20"/>
                <w:lang w:eastAsia="pl-PL"/>
              </w:rPr>
              <w:t>nstytut Nauk Geologicznych, Zakł</w:t>
            </w:r>
            <w:r w:rsidR="00C119E3" w:rsidRPr="00864521">
              <w:rPr>
                <w:rFonts w:ascii="Verdana" w:hAnsi="Verdana"/>
                <w:sz w:val="20"/>
                <w:szCs w:val="20"/>
                <w:lang w:eastAsia="pl-PL"/>
              </w:rPr>
              <w:t>ad Mineralogii i Petrologii</w:t>
            </w:r>
          </w:p>
        </w:tc>
      </w:tr>
      <w:tr w:rsidR="00864521" w:rsidRPr="00864521" w14:paraId="488178BA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741E24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Kod przedmiotu/modułu </w:t>
            </w:r>
          </w:p>
          <w:p w14:paraId="691E3FC6" w14:textId="62E66446" w:rsidR="009749CB" w:rsidRPr="00864521" w:rsidRDefault="009749CB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  <w:t>76-OS-AS-S2-E1-fIAFP, 76-OS-AS-S2-E</w:t>
            </w:r>
            <w:r w:rsidR="00F340AA" w:rsidRPr="00864521"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  <w:t>2</w:t>
            </w:r>
            <w:r w:rsidRPr="00864521"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  <w:t>-fIAFP, 76-OS-AS-S2-E</w:t>
            </w:r>
            <w:r w:rsidR="00F340AA" w:rsidRPr="00864521"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  <w:t>3</w:t>
            </w:r>
            <w:r w:rsidRPr="00864521"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  <w:t>-fIAFP, 76-OS-AS-S2-E</w:t>
            </w:r>
            <w:r w:rsidR="00F340AA" w:rsidRPr="00864521"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  <w:t>4</w:t>
            </w:r>
            <w:r w:rsidRPr="00864521"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  <w:t>-fIAFP</w:t>
            </w:r>
          </w:p>
        </w:tc>
      </w:tr>
      <w:tr w:rsidR="00864521" w:rsidRPr="00864521" w14:paraId="5A154C20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781B7C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Rodzaj przedmiotu/modułu </w:t>
            </w:r>
            <w:r w:rsidRPr="00864521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2F6BEAA3" w14:textId="2120E0F2" w:rsidR="00C119E3" w:rsidRPr="00864521" w:rsidRDefault="00C119E3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do wyboru</w:t>
            </w:r>
          </w:p>
        </w:tc>
      </w:tr>
      <w:tr w:rsidR="00864521" w:rsidRPr="00864521" w14:paraId="44A1D2FF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06BAA6" w14:textId="721CA391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Kierunek studiów (specjalność)</w:t>
            </w:r>
          </w:p>
          <w:p w14:paraId="1F6D7157" w14:textId="1FC4F5D7" w:rsidR="00C119E3" w:rsidRPr="00864521" w:rsidRDefault="00C119E3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Ochrona środowiska </w:t>
            </w:r>
            <w:r w:rsidR="00600734" w:rsidRPr="00864521">
              <w:rPr>
                <w:rFonts w:ascii="Verdana" w:hAnsi="Verdana"/>
                <w:sz w:val="20"/>
                <w:szCs w:val="20"/>
                <w:lang w:eastAsia="pl-PL"/>
              </w:rPr>
              <w:t>(Analityka środowiskowa)</w:t>
            </w:r>
          </w:p>
        </w:tc>
      </w:tr>
      <w:tr w:rsidR="00864521" w:rsidRPr="00864521" w14:paraId="1A9CD9C1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EC3A30" w14:textId="40089E29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Poziom studiów </w:t>
            </w:r>
            <w:r w:rsidRPr="00864521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(I stopień, II stopień, jednolite studia magisterskie)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26FEDE24" w14:textId="07D10473" w:rsidR="00C119E3" w:rsidRPr="00864521" w:rsidRDefault="00C119E3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II stopień</w:t>
            </w:r>
          </w:p>
        </w:tc>
      </w:tr>
      <w:tr w:rsidR="00864521" w:rsidRPr="00864521" w14:paraId="39C86593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69DE57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Rok studiów </w:t>
            </w:r>
            <w:r w:rsidRPr="00864521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) </w:t>
            </w:r>
          </w:p>
          <w:p w14:paraId="345B9DFB" w14:textId="5EAEDCE4" w:rsidR="00C119E3" w:rsidRPr="00864521" w:rsidRDefault="00C119E3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I</w:t>
            </w:r>
            <w:r w:rsidR="00BA3804" w:rsidRPr="00864521">
              <w:rPr>
                <w:rFonts w:ascii="Verdana" w:hAnsi="Verdana"/>
                <w:sz w:val="20"/>
                <w:szCs w:val="20"/>
                <w:lang w:eastAsia="pl-PL"/>
              </w:rPr>
              <w:t>/II</w:t>
            </w:r>
          </w:p>
        </w:tc>
      </w:tr>
      <w:tr w:rsidR="00864521" w:rsidRPr="00864521" w14:paraId="687E4457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3C0322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Semestr </w:t>
            </w:r>
            <w:r w:rsidRPr="00864521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5BD3D424" w14:textId="0C057B3E" w:rsidR="00C119E3" w:rsidRPr="00864521" w:rsidRDefault="00BA3804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z</w:t>
            </w:r>
            <w:r w:rsidR="00C119E3" w:rsidRPr="00864521">
              <w:rPr>
                <w:rFonts w:ascii="Verdana" w:hAnsi="Verdana"/>
                <w:sz w:val="20"/>
                <w:szCs w:val="20"/>
                <w:lang w:eastAsia="pl-PL"/>
              </w:rPr>
              <w:t>imowy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/letni</w:t>
            </w:r>
          </w:p>
        </w:tc>
      </w:tr>
      <w:tr w:rsidR="00864521" w:rsidRPr="00864521" w14:paraId="15257991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CAF919" w14:textId="25A855E6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Forma zajęć i liczba godzin (w t</w:t>
            </w:r>
            <w:r w:rsidR="00C119E3" w:rsidRPr="00864521">
              <w:rPr>
                <w:rFonts w:ascii="Verdana" w:hAnsi="Verdana"/>
                <w:sz w:val="20"/>
                <w:szCs w:val="20"/>
                <w:lang w:eastAsia="pl-PL"/>
              </w:rPr>
              <w:t>ym liczba godzin zajęć online)</w:t>
            </w:r>
          </w:p>
          <w:p w14:paraId="24FA8FBD" w14:textId="151CA383" w:rsidR="00C119E3" w:rsidRPr="00864521" w:rsidRDefault="00C119E3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Wykład: 8</w:t>
            </w:r>
          </w:p>
          <w:p w14:paraId="06B9888C" w14:textId="7656709E" w:rsidR="00FC344E" w:rsidRPr="00864521" w:rsidRDefault="00FC344E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Ćwiczenia: 1</w:t>
            </w:r>
            <w:r w:rsidR="00BA3804" w:rsidRPr="00864521">
              <w:rPr>
                <w:rFonts w:ascii="Verdana" w:hAnsi="Verdana"/>
                <w:sz w:val="20"/>
                <w:szCs w:val="20"/>
                <w:lang w:eastAsia="pl-PL"/>
              </w:rPr>
              <w:t>4</w:t>
            </w:r>
          </w:p>
          <w:p w14:paraId="7DC37ACE" w14:textId="2158F5C9" w:rsidR="00FC344E" w:rsidRPr="00864521" w:rsidRDefault="00FC344E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Ćwiczenia laboratoryjne: 1</w:t>
            </w:r>
            <w:r w:rsidR="00BA3804" w:rsidRPr="00864521">
              <w:rPr>
                <w:rFonts w:ascii="Verdana" w:hAnsi="Verdana"/>
                <w:sz w:val="20"/>
                <w:szCs w:val="20"/>
                <w:lang w:eastAsia="pl-PL"/>
              </w:rPr>
              <w:t>2</w:t>
            </w:r>
          </w:p>
          <w:p w14:paraId="6CD9DC2F" w14:textId="77777777" w:rsidR="00D0565F" w:rsidRPr="00864521" w:rsidRDefault="00D0565F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B29CF13" w14:textId="7CE0F1CE" w:rsidR="00526545" w:rsidRPr="00864521" w:rsidRDefault="00526545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Metody uczenia się:</w:t>
            </w:r>
          </w:p>
          <w:p w14:paraId="498F8EE1" w14:textId="77777777" w:rsidR="00526545" w:rsidRPr="00864521" w:rsidRDefault="00526545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-wykład multimedialny</w:t>
            </w:r>
          </w:p>
          <w:p w14:paraId="0D5ACEC0" w14:textId="2A384B2A" w:rsidR="00FC344E" w:rsidRPr="00864521" w:rsidRDefault="00526545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-ć</w:t>
            </w:r>
            <w:r w:rsidR="00FC344E" w:rsidRPr="00864521">
              <w:rPr>
                <w:rFonts w:ascii="Verdana" w:hAnsi="Verdana"/>
                <w:sz w:val="20"/>
                <w:szCs w:val="20"/>
                <w:lang w:eastAsia="pl-PL"/>
              </w:rPr>
              <w:t>wiczenia praktyczne (</w:t>
            </w:r>
            <w:r w:rsidR="00503DB0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planowanie strategii pomiarów,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nauka obsługi</w:t>
            </w:r>
            <w:r w:rsidR="00FC344E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oprogramowania, korzystania z baz danych, i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nterpretacja </w:t>
            </w:r>
            <w:r w:rsidR="00B7672E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i prezentacja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uzyskanych wyników</w:t>
            </w:r>
            <w:r w:rsidR="005D5BAE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w zakresie jakościowej i ilościowej analizy fazowej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</w:p>
          <w:p w14:paraId="6F47160A" w14:textId="15F65030" w:rsidR="00C119E3" w:rsidRPr="00864521" w:rsidRDefault="00526545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-ć</w:t>
            </w:r>
            <w:r w:rsidR="00C119E3" w:rsidRPr="00864521">
              <w:rPr>
                <w:rFonts w:ascii="Verdana" w:hAnsi="Verdana"/>
                <w:sz w:val="20"/>
                <w:szCs w:val="20"/>
                <w:lang w:eastAsia="pl-PL"/>
              </w:rPr>
              <w:t>wiczenia laboratoryjne</w:t>
            </w:r>
            <w:r w:rsidR="00866CDB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(zadani</w:t>
            </w:r>
            <w:r w:rsidR="00FC344E" w:rsidRPr="00864521">
              <w:rPr>
                <w:rFonts w:ascii="Verdana" w:hAnsi="Verdana"/>
                <w:sz w:val="20"/>
                <w:szCs w:val="20"/>
                <w:lang w:eastAsia="pl-PL"/>
              </w:rPr>
              <w:t>a wykonywane w laboratorium Zakładu Mineralogii i Petrologii IN</w:t>
            </w:r>
            <w:r w:rsidR="00503DB0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G polegające </w:t>
            </w:r>
            <w:r w:rsidR="00FC344E" w:rsidRPr="00864521">
              <w:rPr>
                <w:rFonts w:ascii="Verdana" w:hAnsi="Verdana"/>
                <w:sz w:val="20"/>
                <w:szCs w:val="20"/>
                <w:lang w:eastAsia="pl-PL"/>
              </w:rPr>
              <w:t>preparatyce próbek</w:t>
            </w:r>
            <w:r w:rsidR="00503DB0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="00FC344E" w:rsidRPr="00864521">
              <w:rPr>
                <w:rFonts w:ascii="Verdana" w:hAnsi="Verdana"/>
                <w:sz w:val="20"/>
                <w:szCs w:val="20"/>
                <w:lang w:eastAsia="pl-PL"/>
              </w:rPr>
              <w:t>i przeprowadzaniu pomiarów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z wykorzystaniem </w:t>
            </w:r>
            <w:r w:rsidR="00507A65" w:rsidRPr="00864521">
              <w:rPr>
                <w:rFonts w:ascii="Verdana" w:hAnsi="Verdana"/>
                <w:sz w:val="20"/>
                <w:szCs w:val="20"/>
                <w:lang w:eastAsia="pl-PL"/>
              </w:rPr>
              <w:t>dyfraktometru rentgenowskiego i spektrometru Ramana</w:t>
            </w:r>
            <w:r w:rsidR="00FC344E" w:rsidRPr="0086452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</w:p>
        </w:tc>
      </w:tr>
      <w:tr w:rsidR="00864521" w:rsidRPr="00864521" w14:paraId="18EB87A7" w14:textId="77777777" w:rsidTr="003B6C16">
        <w:trPr>
          <w:trHeight w:val="75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180B1F" w14:textId="77777777" w:rsidR="007234BD" w:rsidRPr="00864521" w:rsidRDefault="007234BD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6DF1DD" w14:textId="3325B5C8" w:rsidR="007234BD" w:rsidRPr="00864521" w:rsidRDefault="007234BD" w:rsidP="00AE02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6452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  <w:r w:rsidR="005B6C97" w:rsidRPr="0086452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0C71C0A" w14:textId="17C48D4A" w:rsidR="00AE0290" w:rsidRPr="00864521" w:rsidRDefault="007234BD" w:rsidP="00AE02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64521">
              <w:rPr>
                <w:rFonts w:ascii="Verdana" w:hAnsi="Verdana"/>
                <w:sz w:val="20"/>
                <w:szCs w:val="20"/>
              </w:rPr>
              <w:t>Koordynatorzy</w:t>
            </w:r>
            <w:r w:rsidR="00AE0290" w:rsidRPr="00864521">
              <w:rPr>
                <w:rFonts w:ascii="Verdana" w:hAnsi="Verdana"/>
                <w:sz w:val="20"/>
                <w:szCs w:val="20"/>
              </w:rPr>
              <w:t>: dr Iwona Korybska-Sadło, dr Krzysztof Turniak</w:t>
            </w:r>
          </w:p>
          <w:p w14:paraId="146F9D20" w14:textId="7F1305F8" w:rsidR="007234BD" w:rsidRPr="00864521" w:rsidRDefault="00AE0290" w:rsidP="00AE0290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</w:rPr>
              <w:t>Prowadzący zajęcia</w:t>
            </w:r>
            <w:r w:rsidR="007234BD" w:rsidRPr="00864521">
              <w:rPr>
                <w:rFonts w:ascii="Verdana" w:hAnsi="Verdana"/>
                <w:sz w:val="20"/>
                <w:szCs w:val="20"/>
              </w:rPr>
              <w:t>: dr Iwona Korybska-Sadło, dr Krzysztof Turniak</w:t>
            </w:r>
          </w:p>
        </w:tc>
      </w:tr>
      <w:tr w:rsidR="00864521" w:rsidRPr="00864521" w14:paraId="3C19D0C8" w14:textId="77777777" w:rsidTr="003B6C16">
        <w:trPr>
          <w:trHeight w:val="75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10C71A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5AA46551" w:rsidR="00C119E3" w:rsidRPr="00864521" w:rsidRDefault="00A34921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Podstawowe w</w:t>
            </w:r>
            <w:r w:rsidR="00D87F50" w:rsidRPr="00864521">
              <w:rPr>
                <w:rFonts w:ascii="Verdana" w:hAnsi="Verdana"/>
                <w:sz w:val="20"/>
                <w:szCs w:val="20"/>
                <w:lang w:eastAsia="pl-PL"/>
              </w:rPr>
              <w:t>iadomości z chemii i fizyki w zakresie realizowanym dla I stopnia kierunku Ochrona Środowiska</w:t>
            </w:r>
          </w:p>
        </w:tc>
      </w:tr>
      <w:tr w:rsidR="00864521" w:rsidRPr="00864521" w14:paraId="2FA1A762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7D92E5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Cele kształcenia dla przedmiotu</w:t>
            </w:r>
          </w:p>
          <w:p w14:paraId="49498CF6" w14:textId="66FDB8AB" w:rsidR="00C505B0" w:rsidRPr="00864521" w:rsidRDefault="00C505B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Zapoznanie studenta z podstawami spektroskopii Ramana i rentgenowskiej dyfraktometrii proszkowej</w:t>
            </w:r>
            <w:r w:rsidR="00F66485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oraz możliwościami</w:t>
            </w:r>
            <w:r w:rsidR="00D441F1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zastosowania </w:t>
            </w:r>
            <w:r w:rsidR="005D5BAE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tych metod </w:t>
            </w:r>
            <w:r w:rsidR="00D441F1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w </w:t>
            </w:r>
            <w:r w:rsidR="005D5BAE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jakościowej i ilościowej </w:t>
            </w:r>
            <w:r w:rsidR="00D441F1" w:rsidRPr="00864521">
              <w:rPr>
                <w:rFonts w:ascii="Verdana" w:hAnsi="Verdana"/>
                <w:sz w:val="20"/>
                <w:szCs w:val="20"/>
                <w:lang w:eastAsia="pl-PL"/>
              </w:rPr>
              <w:t>analizie fazowej</w:t>
            </w:r>
            <w:r w:rsidR="00F66485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dla próbek środowiskowych.</w:t>
            </w:r>
          </w:p>
          <w:p w14:paraId="188489A8" w14:textId="7C3DC905" w:rsidR="00356369" w:rsidRPr="00864521" w:rsidRDefault="00D441F1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Osiągnię</w:t>
            </w:r>
            <w:r w:rsidR="00F66485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cie przez studentów </w:t>
            </w:r>
            <w:r w:rsidR="001A3F01" w:rsidRPr="00864521">
              <w:rPr>
                <w:rFonts w:ascii="Verdana" w:hAnsi="Verdana"/>
                <w:sz w:val="20"/>
                <w:szCs w:val="20"/>
                <w:lang w:eastAsia="pl-PL"/>
              </w:rPr>
              <w:t>umiejętności przygotowywania preparatów, planowania i prowadzenia badań z wykorzystaniem dyfraktometru rentgenowskiego</w:t>
            </w:r>
            <w:r w:rsidR="00F66485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i spektrometru Ramana oraz </w:t>
            </w:r>
            <w:r w:rsidR="001A3F01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interpretacji </w:t>
            </w:r>
            <w:r w:rsidR="00F66485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i prezentacji </w:t>
            </w:r>
            <w:r w:rsidR="001A3F01" w:rsidRPr="00864521">
              <w:rPr>
                <w:rFonts w:ascii="Verdana" w:hAnsi="Verdana"/>
                <w:sz w:val="20"/>
                <w:szCs w:val="20"/>
                <w:lang w:eastAsia="pl-PL"/>
              </w:rPr>
              <w:t>uzyskanych wyników.</w:t>
            </w:r>
          </w:p>
        </w:tc>
      </w:tr>
      <w:tr w:rsidR="00864521" w:rsidRPr="00864521" w14:paraId="42A695CD" w14:textId="77777777" w:rsidTr="003B6C16">
        <w:trPr>
          <w:trHeight w:val="3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Treści programowe </w:t>
            </w:r>
          </w:p>
          <w:p w14:paraId="76AFAA41" w14:textId="50F97AB7" w:rsidR="00F1541A" w:rsidRPr="00864521" w:rsidRDefault="00D87F40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- realizowane w </w:t>
            </w:r>
            <w:r w:rsidR="000A74CC" w:rsidRPr="00864521">
              <w:rPr>
                <w:rFonts w:ascii="Verdana" w:hAnsi="Verdana"/>
                <w:sz w:val="20"/>
                <w:szCs w:val="20"/>
                <w:lang w:eastAsia="pl-PL"/>
              </w:rPr>
              <w:t>sposób tradycyjny (T)</w:t>
            </w:r>
          </w:p>
          <w:p w14:paraId="0DE5927A" w14:textId="77777777" w:rsidR="008A658F" w:rsidRPr="00864521" w:rsidRDefault="008A658F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23CDC35" w14:textId="6908BAA0" w:rsidR="00D87F40" w:rsidRPr="00864521" w:rsidRDefault="008A658F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Wykład: Budowa wewnętrzna ciał stałych. Promieniowanie rentgenowskie i jego źródła. Zjawisko dyfrakcji promieni X w krysztale. Rentgenowska dyfraktometrii proszkowa. Aparatura pomiarowa. Preparatyka próbek i planowanie pomiarów. Cyfrowe bazy danych krystalograficznych. Rentgenowska analiza fazowa </w:t>
            </w:r>
            <w:r w:rsidR="002867B7" w:rsidRPr="00864521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jakościowa i ilościowa</w:t>
            </w:r>
            <w:r w:rsidR="002867B7" w:rsidRPr="0086452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A3804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Metoda Rietvelda.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Zastosowania rentgenowskiej dyfraktometrii proszkowej i jej ograniczenia w badaniach próbek środowiskowych.</w:t>
            </w:r>
          </w:p>
          <w:p w14:paraId="0EEC6A77" w14:textId="08075E01" w:rsidR="00710E3B" w:rsidRPr="00864521" w:rsidRDefault="00710E3B" w:rsidP="00156B7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64521">
              <w:rPr>
                <w:rStyle w:val="markedcontent"/>
                <w:rFonts w:ascii="Verdana" w:hAnsi="Verdana" w:cs="Arial"/>
                <w:sz w:val="20"/>
                <w:szCs w:val="20"/>
              </w:rPr>
              <w:t>Optyczne metody spektroskopowe oraz podstawy spektroskopii wibracyjnej. Rozpraszanie stokesowskie i antystokesowskie, rozpraszanie Rayleigha, polaryzowalność cząsteczek, efekt Ramana. Aparatura pomiarowa, ź</w:t>
            </w:r>
            <w:r w:rsidRPr="00864521">
              <w:rPr>
                <w:rFonts w:ascii="Verdana" w:hAnsi="Verdana"/>
                <w:sz w:val="20"/>
                <w:szCs w:val="20"/>
              </w:rPr>
              <w:t>ródła światła w spektrometrach ramanowskich. Preparatyka próbek i planowanie pomiarów. Zjawisko fluorescencji oraz polaryzacji. Analiza fazowa, interpretacja otrzymanych wyników. Cyfrowe bazy danych.Praktyczne zastosowania metod spektroskopowych (Raman, FT-IR) i ich ograniczenia.</w:t>
            </w:r>
          </w:p>
          <w:p w14:paraId="294B8351" w14:textId="77777777" w:rsidR="008A658F" w:rsidRPr="00864521" w:rsidRDefault="008A658F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31889FE" w14:textId="67BB8691" w:rsidR="00710E3B" w:rsidRPr="00864521" w:rsidRDefault="00F801C4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Ćwiczenia oraz ć</w:t>
            </w:r>
            <w:r w:rsidR="003E65CF" w:rsidRPr="00864521">
              <w:rPr>
                <w:rFonts w:ascii="Verdana" w:hAnsi="Verdana"/>
                <w:sz w:val="20"/>
                <w:szCs w:val="20"/>
                <w:lang w:eastAsia="pl-PL"/>
              </w:rPr>
              <w:t>wiczenia laboratoryjne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odbywają się w Pracowni Dyfrakcji Rentgenowskiej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 Pracowni Mikroskopii Elektronowej. W trakcie zajęć realizowane będą następujące treści programowe</w:t>
            </w:r>
            <w:r w:rsidR="003E65CF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3E65CF" w:rsidRPr="00864521">
              <w:rPr>
                <w:rFonts w:ascii="Verdana" w:hAnsi="Verdana"/>
                <w:sz w:val="20"/>
                <w:szCs w:val="20"/>
                <w:lang w:eastAsia="pl-PL"/>
              </w:rPr>
              <w:t>rzygotowywanie preparatów proszkowych do pomiaru.</w:t>
            </w:r>
            <w:r w:rsidR="00C81C72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Preparatyka minerałów ilastych.</w:t>
            </w:r>
            <w:r w:rsidR="003E65CF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Rodzaje uchwytów i techniki ładowania</w:t>
            </w:r>
            <w:r w:rsidR="00864009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preparatów</w:t>
            </w:r>
            <w:r w:rsidR="003E65CF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. </w:t>
            </w:r>
            <w:r w:rsidR="00864009" w:rsidRPr="00864521">
              <w:rPr>
                <w:rFonts w:ascii="Verdana" w:hAnsi="Verdana"/>
                <w:sz w:val="20"/>
                <w:szCs w:val="20"/>
                <w:lang w:eastAsia="pl-PL"/>
              </w:rPr>
              <w:t>Planowanie pomiaru i</w:t>
            </w:r>
            <w:r w:rsidR="003E65CF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ustalanie warunków pomiarowych. Podstawy obsługi dyfraktometru rentgenowskiego. Interpretacja dyfraktogramu z wykorzystaniem programów wyszukujących (DiffracEva, QualX</w:t>
            </w:r>
            <w:r w:rsidR="00A34921" w:rsidRPr="00864521">
              <w:rPr>
                <w:rFonts w:ascii="Verdana" w:hAnsi="Verdana"/>
                <w:sz w:val="20"/>
                <w:szCs w:val="20"/>
                <w:lang w:eastAsia="pl-PL"/>
              </w:rPr>
              <w:t>2</w:t>
            </w:r>
            <w:r w:rsidR="003E65CF" w:rsidRPr="00864521">
              <w:rPr>
                <w:rFonts w:ascii="Verdana" w:hAnsi="Verdana"/>
                <w:sz w:val="20"/>
                <w:szCs w:val="20"/>
                <w:lang w:eastAsia="pl-PL"/>
              </w:rPr>
              <w:t>). Identyfikacja faz z użyciem krystalograficznych baz danych (ICDD PDF4+, COD). Analiza ilościowa z wykorzystaniem programu T</w:t>
            </w:r>
            <w:r w:rsidR="008A658F" w:rsidRPr="00864521">
              <w:rPr>
                <w:rFonts w:ascii="Verdana" w:hAnsi="Verdana"/>
                <w:sz w:val="20"/>
                <w:szCs w:val="20"/>
                <w:lang w:eastAsia="pl-PL"/>
              </w:rPr>
              <w:t>OPAS</w:t>
            </w:r>
            <w:r w:rsidR="003E65CF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(metodą Rietvelda oraz DDM). Ilościowe oznaczanie zawartości substancji amorficznej w próbce (metody: wzorca wewnętrznego, </w:t>
            </w:r>
            <w:r w:rsidR="00864009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wzorca </w:t>
            </w:r>
            <w:r w:rsidR="003E65CF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zewnętrznego, PONKCS). Ekspertyza powierzonej próbki w zakresie analizy fazowej metodą dyfraktometrii rentgenowskiej. 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>Budowa spektrometru ramanowskiego na przykładzie konfokalnego mikrospektrometru Ramana Renishaw. Praktyczne przygotowywanie preparatów do pomiaru. Planowanie pomiaru, ustalanie warunków pomiarowych ze względu na badaną próbkę. Zapoznanie z oprogramowaniem Wire. Podstawy obs</w:t>
            </w:r>
            <w:r w:rsidR="00710E3B" w:rsidRPr="00864521">
              <w:rPr>
                <w:rFonts w:ascii="Verdana" w:hAnsi="Verdana" w:cs="Cambria"/>
                <w:sz w:val="20"/>
                <w:szCs w:val="20"/>
              </w:rPr>
              <w:t>ł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>ugi aparatury pomiarowej (sp</w:t>
            </w:r>
            <w:r w:rsidR="00D230EF" w:rsidRPr="00864521">
              <w:rPr>
                <w:rFonts w:ascii="Verdana" w:hAnsi="Verdana"/>
                <w:sz w:val="20"/>
                <w:szCs w:val="20"/>
              </w:rPr>
              <w:t>ektrometr Renishaw inVia Qontor).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 xml:space="preserve"> Interpretacja widm ramanowskich z wykorzystaniem p</w:t>
            </w:r>
            <w:r w:rsidR="00D230EF" w:rsidRPr="00864521">
              <w:rPr>
                <w:rFonts w:ascii="Verdana" w:hAnsi="Verdana"/>
                <w:sz w:val="20"/>
                <w:szCs w:val="20"/>
              </w:rPr>
              <w:t>rogramu Wire, CrystalSleuth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>. Mapowanie ramanowsk</w:t>
            </w:r>
            <w:r w:rsidR="002131DC" w:rsidRPr="00864521">
              <w:rPr>
                <w:rFonts w:ascii="Verdana" w:hAnsi="Verdana"/>
                <w:sz w:val="20"/>
                <w:szCs w:val="20"/>
              </w:rPr>
              <w:t>ie, p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>omiary punktowe, linowe. Zja</w:t>
            </w:r>
            <w:r w:rsidR="002131DC" w:rsidRPr="00864521">
              <w:rPr>
                <w:rFonts w:ascii="Verdana" w:hAnsi="Verdana"/>
                <w:sz w:val="20"/>
                <w:szCs w:val="20"/>
              </w:rPr>
              <w:t>wisko fluorescencji w próbkach oraz p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>raktyczn</w:t>
            </w:r>
            <w:r w:rsidR="00D230EF" w:rsidRPr="00864521">
              <w:rPr>
                <w:rFonts w:ascii="Verdana" w:hAnsi="Verdana"/>
                <w:sz w:val="20"/>
                <w:szCs w:val="20"/>
              </w:rPr>
              <w:t>e metody usuwania fluorescencji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>. Analiza widm spektroskopowych w zakresie występowania drgań pochodzących od: grup hydroksylowych, cząsteczek wody, cząsteczek CO</w:t>
            </w:r>
            <w:r w:rsidR="00710E3B" w:rsidRPr="00864521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 xml:space="preserve"> itp. Analiza wybranych faz mineralnych</w:t>
            </w:r>
            <w:r w:rsidR="003304DD" w:rsidRPr="00864521">
              <w:rPr>
                <w:rFonts w:ascii="Verdana" w:hAnsi="Verdana"/>
                <w:sz w:val="20"/>
                <w:szCs w:val="20"/>
              </w:rPr>
              <w:t xml:space="preserve"> i amorficznych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>. Analiza tworzyw sztucznych (PE, PP, PET)</w:t>
            </w:r>
            <w:r w:rsidR="003304DD" w:rsidRPr="00864521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2131DC" w:rsidRPr="00864521">
              <w:rPr>
                <w:rFonts w:ascii="Verdana" w:hAnsi="Verdana"/>
                <w:sz w:val="20"/>
                <w:szCs w:val="20"/>
              </w:rPr>
              <w:t xml:space="preserve">innych </w:t>
            </w:r>
            <w:r w:rsidR="003304DD" w:rsidRPr="00864521">
              <w:rPr>
                <w:rFonts w:ascii="Verdana" w:hAnsi="Verdana"/>
                <w:sz w:val="20"/>
                <w:szCs w:val="20"/>
              </w:rPr>
              <w:t>stałych zanieczyszczeń środowiska</w:t>
            </w:r>
            <w:r w:rsidR="00DC33DF" w:rsidRPr="00864521">
              <w:rPr>
                <w:rFonts w:ascii="Verdana" w:hAnsi="Verdana"/>
                <w:sz w:val="20"/>
                <w:szCs w:val="20"/>
              </w:rPr>
              <w:t xml:space="preserve"> (siarczany, chlorki)</w:t>
            </w:r>
            <w:r w:rsidR="00710E3B" w:rsidRPr="00864521">
              <w:rPr>
                <w:rFonts w:ascii="Verdana" w:hAnsi="Verdana"/>
                <w:sz w:val="20"/>
                <w:szCs w:val="20"/>
              </w:rPr>
              <w:t>. Ekspertyza powierzonej próbki w zakresie analizy fazowej metodą spektroskopii ramanowskiej.</w:t>
            </w:r>
          </w:p>
          <w:p w14:paraId="3DE62F05" w14:textId="76C89E65" w:rsidR="00710E3B" w:rsidRPr="00864521" w:rsidRDefault="00710E3B" w:rsidP="00156B7D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864521" w:rsidRPr="00864521" w14:paraId="38D255F1" w14:textId="77777777" w:rsidTr="003B6C16">
        <w:trPr>
          <w:trHeight w:val="1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864521" w:rsidRDefault="00D87F40" w:rsidP="003B6C1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52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C4F2BB" w14:textId="77777777" w:rsidR="00D87F40" w:rsidRPr="00864521" w:rsidRDefault="00D87F40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Zakładane efekty uczenia się  </w:t>
            </w:r>
          </w:p>
          <w:p w14:paraId="1520FB37" w14:textId="77777777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BC899A9" w14:textId="77777777" w:rsidR="00D44FBC" w:rsidRPr="00864521" w:rsidRDefault="00D44FBC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0DC05A0" w14:textId="1ECCA452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W_1 Student zna podstawy fizyczne dyfraktometrii rentgenowskiej</w:t>
            </w:r>
            <w:r w:rsidR="00BA3804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i spektroskopii ramanowskiej</w:t>
            </w:r>
            <w:r w:rsidR="009A17A2" w:rsidRPr="00864521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3E182305" w14:textId="77777777" w:rsidR="00D44FBC" w:rsidRPr="00864521" w:rsidRDefault="00D44FBC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3056F8D" w14:textId="49BBA0E4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W_2 Student ma wiedzę dotyczącą możliwości zastosowania metody proszkowej </w:t>
            </w:r>
            <w:r w:rsidR="00565C48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oraz spektroskopii Ramana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w bada</w:t>
            </w:r>
            <w:r w:rsidR="009A17A2" w:rsidRPr="00864521">
              <w:rPr>
                <w:rFonts w:ascii="Verdana" w:hAnsi="Verdana"/>
                <w:sz w:val="20"/>
                <w:szCs w:val="20"/>
                <w:lang w:eastAsia="pl-PL"/>
              </w:rPr>
              <w:t>niach stosowanych w ochronie środowiska.</w:t>
            </w:r>
          </w:p>
          <w:p w14:paraId="22637C8B" w14:textId="77777777" w:rsidR="00D44FBC" w:rsidRPr="00864521" w:rsidRDefault="00D44FBC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8C600C3" w14:textId="3F0448A3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U_1 Student posiada umiejętność przygotowania próbek proszkowych i wzorców do badań metodą dyfraktometrii rentgenowskiej</w:t>
            </w:r>
            <w:r w:rsidR="00565C48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i spektroskopii ramanowskiej.</w:t>
            </w:r>
          </w:p>
          <w:p w14:paraId="69D8892F" w14:textId="77777777" w:rsidR="00D44FBC" w:rsidRPr="00864521" w:rsidRDefault="00D44FBC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B3E0735" w14:textId="5DADA67A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U_2 Student potrafi zaplanować i przeprowadzić pomiar XRD, zinterpretować i przedstawić otrzymane wyniki w zakresie identyfikacji fazowej i analizy ilościowej</w:t>
            </w:r>
            <w:r w:rsidR="009A17A2" w:rsidRPr="00864521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="00565C48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Potrafi zaplanować i przeprowadzić </w:t>
            </w:r>
            <w:r w:rsidR="00565C48" w:rsidRPr="00864521">
              <w:rPr>
                <w:rFonts w:ascii="Verdana" w:hAnsi="Verdana"/>
                <w:sz w:val="20"/>
                <w:szCs w:val="20"/>
              </w:rPr>
              <w:t>ekspertyzę powierzonej próbki w zakresie analizy fazowej metodą spektroskopii ramanowskiej.</w:t>
            </w:r>
          </w:p>
          <w:p w14:paraId="2C49FD35" w14:textId="77777777" w:rsidR="000A69EB" w:rsidRPr="00864521" w:rsidRDefault="000A69EB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011A338" w14:textId="2182A6E9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U_3 Student potrafi obsługiwać </w:t>
            </w:r>
            <w:r w:rsidR="00565C48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specjalistyczne programy komputerowe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oraz korzystać z cyfrowych baz danych krystalograficznych </w:t>
            </w:r>
            <w:r w:rsidR="00565C48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i spektroskopowych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(ICDD, ICSD, COD, ASTM</w:t>
            </w:r>
            <w:r w:rsidR="00565C48" w:rsidRPr="00864521">
              <w:rPr>
                <w:rFonts w:ascii="Verdana" w:hAnsi="Verdana"/>
                <w:sz w:val="20"/>
                <w:szCs w:val="20"/>
                <w:lang w:eastAsia="pl-PL"/>
              </w:rPr>
              <w:t>, RRUFF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="009A17A2" w:rsidRPr="00864521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694E5D23" w14:textId="77777777" w:rsidR="000A69EB" w:rsidRPr="00864521" w:rsidRDefault="000A69EB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769322D" w14:textId="759B7E6F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U_4 Student potrafi przygotować ekspertyzę w zakresie analizy fazowej (jakościowej i ilościowej) powierzonej próbki, w oparciu o wyniki badań przeprowadzonych metodą dyfraktometrii rentgenowskiej</w:t>
            </w:r>
            <w:r w:rsidR="00565C48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oraz spektroskopii Ramana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. </w:t>
            </w:r>
          </w:p>
          <w:p w14:paraId="48FE33FD" w14:textId="77777777" w:rsidR="00710C6B" w:rsidRPr="00864521" w:rsidRDefault="00710C6B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8CABD7C" w14:textId="799AF6E2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K_1 Student rozumie potrzebę ciągłego uczenia się i śledzenia zmian w stanie wiedzy dotyczącej struktur ciał krystalicz</w:t>
            </w:r>
            <w:r w:rsidR="0090358F" w:rsidRPr="00864521">
              <w:rPr>
                <w:rFonts w:ascii="Verdana" w:hAnsi="Verdana"/>
                <w:sz w:val="20"/>
                <w:szCs w:val="20"/>
                <w:lang w:eastAsia="pl-PL"/>
              </w:rPr>
              <w:t>nych oraz technik analitycznych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. </w:t>
            </w:r>
          </w:p>
          <w:p w14:paraId="0BA19242" w14:textId="77777777" w:rsidR="00710C6B" w:rsidRPr="00864521" w:rsidRDefault="00710C6B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F9DFC20" w14:textId="5B1D3C5D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K_2 Student potrafi planować pomiary w taki sposób, aby uzyskać oczekiwany efekt</w:t>
            </w:r>
            <w:r w:rsidR="004B45E2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możliwie najmniejszym </w:t>
            </w:r>
            <w:r w:rsidR="009A17A2" w:rsidRPr="00864521">
              <w:rPr>
                <w:rFonts w:ascii="Verdana" w:hAnsi="Verdana"/>
                <w:sz w:val="20"/>
                <w:szCs w:val="20"/>
                <w:lang w:eastAsia="pl-PL"/>
              </w:rPr>
              <w:t>kosztem.</w:t>
            </w:r>
            <w:r w:rsidR="004B45E2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F2E050" w14:textId="77777777" w:rsidR="006D49A5" w:rsidRPr="00864521" w:rsidRDefault="00D87F40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Symbole odpowiednich </w:t>
            </w:r>
            <w:r w:rsidR="006D49A5" w:rsidRPr="00864521">
              <w:rPr>
                <w:rFonts w:ascii="Verdana" w:hAnsi="Verdana"/>
                <w:sz w:val="20"/>
                <w:szCs w:val="20"/>
                <w:lang w:eastAsia="pl-PL"/>
              </w:rPr>
              <w:t>kierunkowych efektów kształcenia:</w:t>
            </w:r>
          </w:p>
          <w:p w14:paraId="36574D72" w14:textId="77777777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K_W05</w:t>
            </w:r>
          </w:p>
          <w:p w14:paraId="636AE92D" w14:textId="6CCA5814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9A1E663" w14:textId="431025D4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D8802E4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BC1D670" w14:textId="15C8B7D6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K_W12</w:t>
            </w:r>
          </w:p>
          <w:p w14:paraId="24623CF8" w14:textId="45E3CC9B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F2D1FBD" w14:textId="11276FCD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0F8D2A8" w14:textId="54B63FEF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F3F2E7C" w14:textId="7D60A0B4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K_U02</w:t>
            </w:r>
          </w:p>
          <w:p w14:paraId="1A30442A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1B43E45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DA2187B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0BAF6E9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B05FB5E" w14:textId="0E91F6EF" w:rsidR="006D49A5" w:rsidRPr="00864521" w:rsidRDefault="004B45E2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K_W13, </w:t>
            </w:r>
            <w:r w:rsidR="006D49A5" w:rsidRPr="00864521">
              <w:rPr>
                <w:rFonts w:ascii="Verdana" w:hAnsi="Verdana"/>
                <w:sz w:val="20"/>
                <w:szCs w:val="20"/>
                <w:lang w:eastAsia="pl-PL"/>
              </w:rPr>
              <w:t>K_U02, K_U04, K_U07</w:t>
            </w:r>
          </w:p>
          <w:p w14:paraId="77602525" w14:textId="4819F07D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62BCB52" w14:textId="7923CF71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DDA2D44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FB9D443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0DB6509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C092349" w14:textId="77777777" w:rsidR="000A69EB" w:rsidRPr="00864521" w:rsidRDefault="000A69EB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AEAFAB6" w14:textId="2D839573" w:rsidR="006D49A5" w:rsidRPr="00864521" w:rsidRDefault="006D49A5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K_</w:t>
            </w:r>
            <w:r w:rsidR="004B45E2" w:rsidRPr="00864521">
              <w:rPr>
                <w:rFonts w:ascii="Verdana" w:hAnsi="Verdana"/>
                <w:sz w:val="20"/>
                <w:szCs w:val="20"/>
                <w:lang w:eastAsia="pl-PL"/>
              </w:rPr>
              <w:t>W03, K_U01</w:t>
            </w:r>
          </w:p>
          <w:p w14:paraId="432F55FE" w14:textId="77777777" w:rsidR="004B45E2" w:rsidRPr="00864521" w:rsidRDefault="004B45E2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6511F11" w14:textId="6607766C" w:rsidR="004B45E2" w:rsidRPr="00864521" w:rsidRDefault="004B45E2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756FCA7" w14:textId="6F277053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1E75EB2" w14:textId="7E57E872" w:rsidR="004B45E2" w:rsidRPr="00864521" w:rsidRDefault="004B45E2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K_U02, K_U04, K_U05, K_U07</w:t>
            </w:r>
          </w:p>
          <w:p w14:paraId="0007C902" w14:textId="77777777" w:rsidR="004B45E2" w:rsidRPr="00864521" w:rsidRDefault="004B45E2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3A810E4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C51CADC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851BE00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742959D" w14:textId="62F2DD97" w:rsidR="004B45E2" w:rsidRPr="00864521" w:rsidRDefault="004B45E2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K_K01</w:t>
            </w:r>
          </w:p>
          <w:p w14:paraId="5F8C327B" w14:textId="77777777" w:rsidR="009A17A2" w:rsidRPr="00864521" w:rsidRDefault="009A17A2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33E95E5" w14:textId="77777777" w:rsidR="009A17A2" w:rsidRPr="00864521" w:rsidRDefault="009A17A2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30F2CB8" w14:textId="77777777" w:rsidR="00155FA9" w:rsidRPr="00864521" w:rsidRDefault="00155FA9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D3E4462" w14:textId="158304B5" w:rsidR="009A17A2" w:rsidRPr="00864521" w:rsidRDefault="009A17A2" w:rsidP="00D44FBC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K_K06</w:t>
            </w:r>
          </w:p>
        </w:tc>
      </w:tr>
      <w:tr w:rsidR="00864521" w:rsidRPr="00864521" w14:paraId="10C4089E" w14:textId="77777777" w:rsidTr="003B6C16"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454D1C7D" w:rsidR="00D87F40" w:rsidRPr="00864521" w:rsidRDefault="00D87F40" w:rsidP="003B6C16">
            <w:pPr>
              <w:pStyle w:val="Bezodstpw"/>
              <w:numPr>
                <w:ilvl w:val="0"/>
                <w:numId w:val="25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12EF1" w14:textId="576A696E" w:rsidR="00D87F40" w:rsidRPr="00864521" w:rsidRDefault="00F101F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Literatura obowiązkowa:</w:t>
            </w:r>
          </w:p>
          <w:p w14:paraId="1EFDF312" w14:textId="5AF219DB" w:rsidR="00F101F0" w:rsidRPr="00864521" w:rsidRDefault="002867B7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Trzaska Durski Z., Trzaska Durska H.: Podstawy krystalografii strukturalnej i rentgenowskiej. PWN, Warszawa 1994</w:t>
            </w:r>
          </w:p>
          <w:p w14:paraId="584F1BB8" w14:textId="14D6DA07" w:rsidR="00F101F0" w:rsidRPr="00864521" w:rsidRDefault="00F101F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Literatura zalecana:</w:t>
            </w:r>
          </w:p>
          <w:p w14:paraId="1176EE80" w14:textId="32623855" w:rsidR="00F101F0" w:rsidRPr="00864521" w:rsidRDefault="00F101F0" w:rsidP="00D90132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864521">
              <w:rPr>
                <w:rFonts w:ascii="Verdana" w:hAnsi="Verdana"/>
                <w:sz w:val="20"/>
                <w:szCs w:val="20"/>
              </w:rPr>
              <w:t xml:space="preserve">Bojarski Z., Gigla M., Stróż K., Surowiec M., Krystalografia+CD. </w:t>
            </w:r>
            <w:r w:rsidRPr="00864521">
              <w:rPr>
                <w:rFonts w:ascii="Verdana" w:hAnsi="Verdana"/>
                <w:sz w:val="20"/>
                <w:szCs w:val="20"/>
                <w:lang w:val="en-US"/>
              </w:rPr>
              <w:t>Wydawnictwo Naukowe PWN. Warszawa, wyd. 3, 2017</w:t>
            </w:r>
          </w:p>
          <w:p w14:paraId="7D17F23C" w14:textId="298230BF" w:rsidR="00374103" w:rsidRPr="00864521" w:rsidRDefault="00374103" w:rsidP="00D90132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864521">
              <w:rPr>
                <w:rFonts w:ascii="Verdana" w:hAnsi="Verdana"/>
                <w:sz w:val="20"/>
                <w:szCs w:val="20"/>
                <w:lang w:val="en-US"/>
              </w:rPr>
              <w:t>Scarlett, N., &amp; Madsen, I. (2006). Quantification of phases with partial or no known crystal structures. Powder Diffraction, 21(4), 278-284. doi:10.1154/1.2362855</w:t>
            </w:r>
          </w:p>
          <w:p w14:paraId="03CDAA47" w14:textId="4DA2D3F7" w:rsidR="00F101F0" w:rsidRPr="00864521" w:rsidRDefault="00F101F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val="en-US" w:eastAsia="pl-PL"/>
              </w:rPr>
              <w:t>Toraya, H. (2021). Review of the direct derivation method: Quantitative phase analysis with observed intensities and chemical composition data. </w:t>
            </w:r>
            <w:r w:rsidRPr="00864521">
              <w:rPr>
                <w:rFonts w:ascii="Verdana" w:hAnsi="Verdana"/>
                <w:iCs/>
                <w:sz w:val="20"/>
                <w:szCs w:val="20"/>
                <w:lang w:eastAsia="pl-PL"/>
              </w:rPr>
              <w:t>Powder Diffraction,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  <w:r w:rsidRPr="00864521">
              <w:rPr>
                <w:rFonts w:ascii="Verdana" w:hAnsi="Verdana"/>
                <w:iCs/>
                <w:sz w:val="20"/>
                <w:szCs w:val="20"/>
                <w:lang w:eastAsia="pl-PL"/>
              </w:rPr>
              <w:t>36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(3), 159-168. doi:10.1017/S0885715621000373</w:t>
            </w:r>
          </w:p>
          <w:p w14:paraId="32C3F661" w14:textId="709E38B3" w:rsidR="0090358F" w:rsidRPr="00864521" w:rsidRDefault="0090358F" w:rsidP="00D9013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864521">
              <w:rPr>
                <w:rFonts w:ascii="Verdana" w:hAnsi="Verdana" w:cs="Arial"/>
                <w:sz w:val="20"/>
                <w:szCs w:val="20"/>
              </w:rPr>
              <w:t>Praca zbiorowa pod red. Kamilli Małek. Spektroskopia oscylacyjna od teorii do praktyki. PWN, Warszawa, 2016.</w:t>
            </w:r>
          </w:p>
          <w:p w14:paraId="00F2229E" w14:textId="77777777" w:rsidR="0090358F" w:rsidRPr="00864521" w:rsidRDefault="0090358F" w:rsidP="00D9013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22CFC1AE" w14:textId="6426B6FA" w:rsidR="0090358F" w:rsidRPr="00864521" w:rsidRDefault="0090358F" w:rsidP="00D9013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864521">
              <w:rPr>
                <w:rFonts w:ascii="Verdana" w:hAnsi="Verdana" w:cs="Arial"/>
                <w:sz w:val="20"/>
                <w:szCs w:val="20"/>
              </w:rPr>
              <w:t>Barańska H., Łabudzińska A., Terpiński Ł. Laserowa spektrometria ramanowska. Zastosowania analityczne. PWN, Warszawa, 1981.</w:t>
            </w:r>
          </w:p>
          <w:p w14:paraId="3C467BC6" w14:textId="77777777" w:rsidR="0090358F" w:rsidRPr="00864521" w:rsidRDefault="0090358F" w:rsidP="00D9013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7AAA97BF" w14:textId="69C563A4" w:rsidR="0090358F" w:rsidRPr="00864521" w:rsidRDefault="0090358F" w:rsidP="00D9013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864521">
              <w:rPr>
                <w:rFonts w:ascii="Verdana" w:hAnsi="Verdana" w:cs="Arial"/>
                <w:sz w:val="20"/>
                <w:szCs w:val="20"/>
              </w:rPr>
              <w:t>Praca zbiorowa pod red. Kamilli Małek. Wybrane metody spektroskopii i spektroskopii molekularnej w analizie strukturalnej. Wydawnictwo Uniwersytetu Jagiellońskiego, Kraków, 2005.</w:t>
            </w:r>
          </w:p>
          <w:p w14:paraId="58E6291C" w14:textId="0F62B1E3" w:rsidR="00F101F0" w:rsidRPr="00864521" w:rsidRDefault="00F101F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864521" w:rsidRPr="00864521" w14:paraId="35BD8314" w14:textId="77777777" w:rsidTr="003B6C16">
        <w:trPr>
          <w:trHeight w:val="6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3A4ABE07" w:rsidR="00D87F40" w:rsidRPr="00864521" w:rsidRDefault="00D87F40" w:rsidP="003B6C16">
            <w:pPr>
              <w:pStyle w:val="Bezodstpw"/>
              <w:numPr>
                <w:ilvl w:val="0"/>
                <w:numId w:val="25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345620" w14:textId="1770975C" w:rsidR="00005E03" w:rsidRPr="00864521" w:rsidRDefault="00D87F40" w:rsidP="00837EEF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556B5B7E" w14:textId="77777777" w:rsidR="00837EEF" w:rsidRPr="00864521" w:rsidRDefault="00837EEF" w:rsidP="00837EEF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64031A7" w14:textId="77777777" w:rsidR="00837EEF" w:rsidRPr="00864521" w:rsidRDefault="00837EEF" w:rsidP="00837EE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</w:rPr>
              <w:t xml:space="preserve">- wykład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(T) lub (O)</w:t>
            </w:r>
            <w:r w:rsidRPr="0086452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87F40" w:rsidRPr="00864521">
              <w:rPr>
                <w:rFonts w:ascii="Verdana" w:hAnsi="Verdana"/>
                <w:sz w:val="20"/>
                <w:szCs w:val="20"/>
                <w:lang w:eastAsia="pl-PL"/>
              </w:rPr>
              <w:t>egzam</w:t>
            </w:r>
            <w:r w:rsidR="00005E03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in pisemny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="00275DBE" w:rsidRPr="00864521">
              <w:rPr>
                <w:rFonts w:ascii="Verdana" w:hAnsi="Verdana"/>
                <w:sz w:val="20"/>
                <w:szCs w:val="20"/>
                <w:lang w:eastAsia="pl-PL"/>
              </w:rPr>
              <w:t>K_W05, K_W12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</w:p>
          <w:p w14:paraId="7CDDAFE4" w14:textId="09F3C7F9" w:rsidR="00837EEF" w:rsidRPr="00864521" w:rsidRDefault="00837EEF" w:rsidP="00837EEF">
            <w:pPr>
              <w:spacing w:after="0" w:line="240" w:lineRule="auto"/>
            </w:pPr>
            <w:r w:rsidRPr="00864521">
              <w:rPr>
                <w:rFonts w:ascii="Verdana" w:hAnsi="Verdana"/>
                <w:sz w:val="20"/>
                <w:szCs w:val="20"/>
              </w:rPr>
              <w:t xml:space="preserve">- ćwiczenia (T): kolokwium zaliczeniowe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(K_U01, K_U02, K_U04, K_U05, K_U07, K_K06)</w:t>
            </w:r>
          </w:p>
          <w:p w14:paraId="1CBA64E6" w14:textId="529D3B94" w:rsidR="00D87F40" w:rsidRPr="00864521" w:rsidRDefault="00837EEF" w:rsidP="00837EEF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</w:rPr>
              <w:lastRenderedPageBreak/>
              <w:t xml:space="preserve">- ćwiczenia laboratoryjne (T): </w:t>
            </w:r>
            <w:r w:rsidR="00D87F40" w:rsidRPr="00864521">
              <w:rPr>
                <w:rFonts w:ascii="Verdana" w:hAnsi="Verdana"/>
                <w:sz w:val="20"/>
                <w:szCs w:val="20"/>
                <w:lang w:eastAsia="pl-PL"/>
              </w:rPr>
              <w:t>przygotowanie i z</w:t>
            </w:r>
            <w:r w:rsidR="00B31F3B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realizowanie projektu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="00B31F3B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K_U01, </w:t>
            </w:r>
            <w:r w:rsidR="00155FA9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K_U02, K_U04, </w:t>
            </w:r>
            <w:r w:rsidR="00B31F3B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K_U05, </w:t>
            </w:r>
            <w:r w:rsidR="00155FA9" w:rsidRPr="00864521">
              <w:rPr>
                <w:rFonts w:ascii="Verdana" w:hAnsi="Verdana"/>
                <w:sz w:val="20"/>
                <w:szCs w:val="20"/>
                <w:lang w:eastAsia="pl-PL"/>
              </w:rPr>
              <w:t>K_U07, K_K06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</w:p>
        </w:tc>
      </w:tr>
      <w:tr w:rsidR="00864521" w:rsidRPr="00864521" w14:paraId="1D48C603" w14:textId="77777777" w:rsidTr="003B6C16"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6068EB7B" w:rsidR="00D87F40" w:rsidRPr="00864521" w:rsidRDefault="00D87F40" w:rsidP="003B6C16">
            <w:pPr>
              <w:pStyle w:val="Bezodstpw"/>
              <w:numPr>
                <w:ilvl w:val="0"/>
                <w:numId w:val="25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CFE1B5" w14:textId="0F3946F3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Warunki i forma zaliczenia posz</w:t>
            </w:r>
            <w:r w:rsidR="00B31F3B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czególnych komponentów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przedmiotu/modułu:  </w:t>
            </w:r>
          </w:p>
          <w:p w14:paraId="2E91292F" w14:textId="77777777" w:rsidR="00005E03" w:rsidRPr="00864521" w:rsidRDefault="00005E03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572D583" w14:textId="002EE9CD" w:rsidR="00B31F3B" w:rsidRPr="00864521" w:rsidRDefault="00005E03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Podstawą uzyskania zaliczenie przez studenta wykładu będzie obecność na wykładach oraz pozytywnie zaliczony egzamin pisemny (T) lub (O).</w:t>
            </w:r>
            <w:r w:rsidR="00B31F3B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Wynik pozytywny po uzyskaniu 50% możliwych do zdobycia punktów. </w:t>
            </w:r>
          </w:p>
          <w:p w14:paraId="37D343EE" w14:textId="1BCEC8F3" w:rsidR="00005E03" w:rsidRPr="00864521" w:rsidRDefault="00005E03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33D213A7" w14:textId="0111849F" w:rsidR="00D87F40" w:rsidRPr="00864521" w:rsidRDefault="00005E03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Zaliczenie części ćwiczeniowej odbędzie się na podstawie obecności oraz </w:t>
            </w:r>
            <w:r w:rsidR="00837EEF" w:rsidRPr="00864521">
              <w:rPr>
                <w:rFonts w:ascii="Verdana" w:hAnsi="Verdana"/>
                <w:sz w:val="20"/>
                <w:szCs w:val="20"/>
                <w:lang w:eastAsia="pl-PL"/>
              </w:rPr>
              <w:t>pozytywne napisanie kolokwium zaliczeniowego (min. 50% możliwych do zdobycia punktó</w:t>
            </w:r>
            <w:r w:rsidR="00835467" w:rsidRPr="00864521"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837EEF" w:rsidRPr="0086452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="00835467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, zaliczenie ćwiczeń laboratoryjnych odbędzie się na podstawie </w:t>
            </w:r>
            <w:r w:rsidR="00B31F3B" w:rsidRPr="00864521">
              <w:rPr>
                <w:rFonts w:ascii="Verdana" w:hAnsi="Verdana"/>
                <w:sz w:val="20"/>
                <w:szCs w:val="20"/>
                <w:lang w:eastAsia="pl-PL"/>
              </w:rPr>
              <w:t>przygotowani</w:t>
            </w:r>
            <w:r w:rsidR="00835467" w:rsidRPr="00864521">
              <w:rPr>
                <w:rFonts w:ascii="Verdana" w:hAnsi="Verdana"/>
                <w:sz w:val="20"/>
                <w:szCs w:val="20"/>
                <w:lang w:eastAsia="pl-PL"/>
              </w:rPr>
              <w:t>a</w:t>
            </w:r>
            <w:r w:rsidR="00B31F3B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i zrealizowani</w:t>
            </w:r>
            <w:r w:rsidR="00835467" w:rsidRPr="00864521">
              <w:rPr>
                <w:rFonts w:ascii="Verdana" w:hAnsi="Verdana"/>
                <w:sz w:val="20"/>
                <w:szCs w:val="20"/>
                <w:lang w:eastAsia="pl-PL"/>
              </w:rPr>
              <w:t>a</w:t>
            </w:r>
            <w:r w:rsidR="00B31F3B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projektu (ekspertyzy badawczej) 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(T). </w:t>
            </w:r>
          </w:p>
        </w:tc>
      </w:tr>
      <w:tr w:rsidR="00864521" w:rsidRPr="00864521" w14:paraId="0AA66D16" w14:textId="77777777" w:rsidTr="003B6C16"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341EBED4" w:rsidR="00D87F40" w:rsidRPr="00864521" w:rsidRDefault="00D87F40" w:rsidP="003B6C16">
            <w:pPr>
              <w:pStyle w:val="Bezodstpw"/>
              <w:numPr>
                <w:ilvl w:val="0"/>
                <w:numId w:val="25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864521" w:rsidRPr="00864521" w14:paraId="6C40269B" w14:textId="77777777" w:rsidTr="003B6C16">
        <w:tc>
          <w:tcPr>
            <w:tcW w:w="8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864521" w:rsidRDefault="00D87F40" w:rsidP="003B6C16">
            <w:pPr>
              <w:pStyle w:val="Bezodstpw"/>
              <w:numPr>
                <w:ilvl w:val="0"/>
                <w:numId w:val="25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5552E8C5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forma </w:t>
            </w:r>
            <w:r w:rsidR="005A3629" w:rsidRPr="00864521">
              <w:rPr>
                <w:rFonts w:ascii="Verdana" w:hAnsi="Verdana"/>
                <w:sz w:val="20"/>
                <w:szCs w:val="20"/>
                <w:lang w:eastAsia="pl-PL"/>
              </w:rPr>
              <w:t>realizacji zajęć przez studenta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864521" w:rsidRPr="00864521" w14:paraId="7263BA5E" w14:textId="77777777" w:rsidTr="003B6C16">
        <w:trPr>
          <w:trHeight w:val="30"/>
        </w:trPr>
        <w:tc>
          <w:tcPr>
            <w:tcW w:w="8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864521" w:rsidRDefault="00D87F40" w:rsidP="003B6C16">
            <w:pPr>
              <w:pStyle w:val="Bezodstpw"/>
              <w:numPr>
                <w:ilvl w:val="0"/>
                <w:numId w:val="25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80D70FB" w14:textId="3791C4B1" w:rsidR="00D87F40" w:rsidRPr="00864521" w:rsidRDefault="00014EDE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 wykład</w:t>
            </w:r>
            <w:r w:rsidR="00D87F40" w:rsidRPr="00864521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8</w:t>
            </w:r>
            <w:r w:rsidR="00D87F40"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07051178" w14:textId="1FAFA2D5" w:rsidR="00D87F40" w:rsidRPr="00864521" w:rsidRDefault="00B31F3B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 ćwiczenia</w:t>
            </w:r>
            <w:r w:rsidR="00D87F40" w:rsidRPr="00864521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="00014EDE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14</w:t>
            </w:r>
            <w:r w:rsidR="00D87F40"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5BDC83E6" w14:textId="03E414E6" w:rsidR="00D87F40" w:rsidRPr="00864521" w:rsidRDefault="00B31F3B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 laboratorium</w:t>
            </w:r>
            <w:r w:rsidR="00D87F40" w:rsidRPr="00864521">
              <w:rPr>
                <w:rFonts w:ascii="Verdana" w:hAnsi="Verdana"/>
                <w:sz w:val="20"/>
                <w:szCs w:val="20"/>
                <w:lang w:eastAsia="pl-PL"/>
              </w:rPr>
              <w:t>: </w:t>
            </w:r>
            <w:r w:rsidR="00014EDE" w:rsidRPr="00864521">
              <w:rPr>
                <w:rFonts w:ascii="Verdana" w:hAnsi="Verdana"/>
                <w:sz w:val="20"/>
                <w:szCs w:val="20"/>
                <w:lang w:eastAsia="pl-PL"/>
              </w:rPr>
              <w:t>12</w:t>
            </w:r>
          </w:p>
          <w:p w14:paraId="35BCF548" w14:textId="17CFFCD4" w:rsidR="00014EDE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- </w:t>
            </w:r>
            <w:r w:rsidR="00A47276" w:rsidRPr="00864521">
              <w:rPr>
                <w:rFonts w:ascii="Verdana" w:hAnsi="Verdana"/>
                <w:sz w:val="20"/>
                <w:szCs w:val="20"/>
                <w:lang w:eastAsia="pl-PL"/>
              </w:rPr>
              <w:t>konsultacje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: </w:t>
            </w:r>
            <w:r w:rsidR="00014EDE" w:rsidRPr="00864521">
              <w:rPr>
                <w:rFonts w:ascii="Verdana" w:hAnsi="Verdan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19F13F" w14:textId="77777777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2D1AA61F" w14:textId="4CE38DF2" w:rsidR="00A47276" w:rsidRPr="00864521" w:rsidRDefault="00014EDE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42</w:t>
            </w:r>
          </w:p>
        </w:tc>
      </w:tr>
      <w:tr w:rsidR="00864521" w:rsidRPr="00864521" w14:paraId="2EADFBD3" w14:textId="77777777" w:rsidTr="003B6C16">
        <w:trPr>
          <w:trHeight w:val="45"/>
        </w:trPr>
        <w:tc>
          <w:tcPr>
            <w:tcW w:w="8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864521" w:rsidRDefault="00D87F40" w:rsidP="003B6C16">
            <w:pPr>
              <w:pStyle w:val="Bezodstpw"/>
              <w:numPr>
                <w:ilvl w:val="0"/>
                <w:numId w:val="25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17856F1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praca własna studenta: </w:t>
            </w:r>
          </w:p>
          <w:p w14:paraId="16443A7F" w14:textId="6C5E0BC0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 przygotowanie do zajęć: </w:t>
            </w:r>
            <w:r w:rsidR="00014EDE" w:rsidRPr="00864521">
              <w:rPr>
                <w:rFonts w:ascii="Verdana" w:hAnsi="Verdana"/>
                <w:sz w:val="20"/>
                <w:szCs w:val="20"/>
                <w:lang w:eastAsia="pl-PL"/>
              </w:rPr>
              <w:t>8</w:t>
            </w:r>
          </w:p>
          <w:p w14:paraId="5284C48C" w14:textId="092F2257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 czytanie wskazanej literatury: </w:t>
            </w:r>
            <w:r w:rsidR="00014EDE" w:rsidRPr="00864521">
              <w:rPr>
                <w:rFonts w:ascii="Verdana" w:hAnsi="Verdana"/>
                <w:sz w:val="20"/>
                <w:szCs w:val="20"/>
                <w:lang w:eastAsia="pl-PL"/>
              </w:rPr>
              <w:t>5</w:t>
            </w:r>
          </w:p>
          <w:p w14:paraId="05C1D961" w14:textId="48CDFFBB" w:rsidR="00D87F40" w:rsidRPr="00864521" w:rsidRDefault="00014EDE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 przygotowanie projektu</w:t>
            </w:r>
            <w:r w:rsidR="00D87F40" w:rsidRPr="00864521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10</w:t>
            </w:r>
            <w:r w:rsidR="00D87F40"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78BCFF21" w14:textId="6992EE2B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- przygotowanie do egzaminu:</w:t>
            </w:r>
            <w:r w:rsidR="00014EDE" w:rsidRPr="00864521">
              <w:rPr>
                <w:rFonts w:ascii="Verdana" w:hAnsi="Verdana"/>
                <w:sz w:val="20"/>
                <w:szCs w:val="20"/>
                <w:lang w:eastAsia="pl-PL"/>
              </w:rPr>
              <w:t xml:space="preserve"> 10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8168F3" w14:textId="77777777" w:rsidR="00D87F50" w:rsidRPr="00864521" w:rsidRDefault="00D87F5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5948B3B" w14:textId="044EE8CC" w:rsidR="00D87F50" w:rsidRPr="00864521" w:rsidRDefault="00014EDE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33</w:t>
            </w:r>
          </w:p>
        </w:tc>
      </w:tr>
      <w:tr w:rsidR="00864521" w:rsidRPr="00864521" w14:paraId="6DE8FB8C" w14:textId="77777777" w:rsidTr="003B6C16">
        <w:tc>
          <w:tcPr>
            <w:tcW w:w="8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864521" w:rsidRDefault="00D87F40" w:rsidP="003B6C16">
            <w:pPr>
              <w:pStyle w:val="Bezodstpw"/>
              <w:numPr>
                <w:ilvl w:val="0"/>
                <w:numId w:val="25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4E046F82" w:rsidR="00D87F40" w:rsidRPr="00864521" w:rsidRDefault="00A47276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7</w:t>
            </w:r>
            <w:r w:rsidR="00014EDE" w:rsidRPr="00864521">
              <w:rPr>
                <w:rFonts w:ascii="Verdana" w:hAnsi="Verdana"/>
                <w:sz w:val="20"/>
                <w:szCs w:val="20"/>
                <w:lang w:eastAsia="pl-PL"/>
              </w:rPr>
              <w:t>5</w:t>
            </w:r>
          </w:p>
        </w:tc>
      </w:tr>
      <w:tr w:rsidR="00864521" w:rsidRPr="00864521" w14:paraId="4330A9C0" w14:textId="77777777" w:rsidTr="003B6C16">
        <w:tc>
          <w:tcPr>
            <w:tcW w:w="8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864521" w:rsidRDefault="00D87F40" w:rsidP="003B6C16">
            <w:pPr>
              <w:pStyle w:val="Bezodstpw"/>
              <w:numPr>
                <w:ilvl w:val="0"/>
                <w:numId w:val="25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864521" w:rsidRDefault="00D87F40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Liczba punktów ECTS (</w:t>
            </w:r>
            <w:r w:rsidRPr="00864521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992B3C6" w:rsidR="00D87F40" w:rsidRPr="00864521" w:rsidRDefault="00A47276" w:rsidP="00D9013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64521">
              <w:rPr>
                <w:rFonts w:ascii="Verdana" w:hAnsi="Verdana"/>
                <w:sz w:val="20"/>
                <w:szCs w:val="20"/>
                <w:lang w:eastAsia="pl-PL"/>
              </w:rPr>
              <w:t>3</w:t>
            </w:r>
          </w:p>
        </w:tc>
      </w:tr>
    </w:tbl>
    <w:p w14:paraId="0BDA7B05" w14:textId="77777777" w:rsidR="005A3629" w:rsidRPr="00864521" w:rsidRDefault="005A3629" w:rsidP="00D90132">
      <w:pPr>
        <w:pStyle w:val="Bezodstpw"/>
        <w:rPr>
          <w:rFonts w:ascii="Verdana" w:hAnsi="Verdana"/>
          <w:sz w:val="20"/>
          <w:szCs w:val="20"/>
          <w:lang w:eastAsia="pl-PL"/>
        </w:rPr>
      </w:pPr>
    </w:p>
    <w:p w14:paraId="6A51D7FC" w14:textId="2469D9EF" w:rsidR="00D87F40" w:rsidRPr="00864521" w:rsidRDefault="00D87F40" w:rsidP="00D90132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864521">
        <w:rPr>
          <w:rFonts w:ascii="Verdana" w:hAnsi="Verdana"/>
          <w:sz w:val="20"/>
          <w:szCs w:val="20"/>
          <w:lang w:eastAsia="pl-PL"/>
        </w:rPr>
        <w:t>(T) – realizowane w sposób tradycyjny </w:t>
      </w:r>
    </w:p>
    <w:p w14:paraId="3CD4FD5A" w14:textId="755A2530" w:rsidR="40760ACE" w:rsidRPr="00864521" w:rsidRDefault="00D87F40" w:rsidP="00D90132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864521">
        <w:rPr>
          <w:rFonts w:ascii="Verdana" w:hAnsi="Verdana"/>
          <w:sz w:val="20"/>
          <w:szCs w:val="20"/>
          <w:lang w:eastAsia="pl-PL"/>
        </w:rPr>
        <w:t>(O) - realizowane online  </w:t>
      </w:r>
    </w:p>
    <w:p w14:paraId="1E518EDC" w14:textId="77777777" w:rsidR="00256436" w:rsidRPr="00864521" w:rsidRDefault="00256436" w:rsidP="00D90132">
      <w:pPr>
        <w:pStyle w:val="Bezodstpw"/>
        <w:rPr>
          <w:rFonts w:ascii="Verdana" w:hAnsi="Verdana"/>
          <w:sz w:val="20"/>
          <w:szCs w:val="20"/>
          <w:lang w:eastAsia="pl-PL"/>
        </w:rPr>
      </w:pPr>
    </w:p>
    <w:p w14:paraId="6E845BC7" w14:textId="24B0FF98" w:rsidR="40760ACE" w:rsidRPr="00864521" w:rsidRDefault="40760ACE" w:rsidP="00D90132">
      <w:pPr>
        <w:pStyle w:val="Bezodstpw"/>
        <w:rPr>
          <w:rFonts w:ascii="Verdana" w:hAnsi="Verdana"/>
          <w:sz w:val="20"/>
          <w:szCs w:val="20"/>
        </w:rPr>
      </w:pPr>
    </w:p>
    <w:sectPr w:rsidR="40760ACE" w:rsidRPr="008645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A0050"/>
    <w:multiLevelType w:val="hybridMultilevel"/>
    <w:tmpl w:val="FF4A3DBA"/>
    <w:lvl w:ilvl="0" w:tplc="EF981C4C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A3688"/>
    <w:multiLevelType w:val="hybridMultilevel"/>
    <w:tmpl w:val="5EC2C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6F2A48"/>
    <w:multiLevelType w:val="hybridMultilevel"/>
    <w:tmpl w:val="69041644"/>
    <w:lvl w:ilvl="0" w:tplc="7AE423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F41074"/>
    <w:multiLevelType w:val="hybridMultilevel"/>
    <w:tmpl w:val="E47AD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2855180">
    <w:abstractNumId w:val="11"/>
  </w:num>
  <w:num w:numId="2" w16cid:durableId="356081157">
    <w:abstractNumId w:val="14"/>
  </w:num>
  <w:num w:numId="3" w16cid:durableId="946279208">
    <w:abstractNumId w:val="7"/>
  </w:num>
  <w:num w:numId="4" w16cid:durableId="1046756128">
    <w:abstractNumId w:val="3"/>
  </w:num>
  <w:num w:numId="5" w16cid:durableId="1865511153">
    <w:abstractNumId w:val="15"/>
  </w:num>
  <w:num w:numId="6" w16cid:durableId="303436515">
    <w:abstractNumId w:val="18"/>
  </w:num>
  <w:num w:numId="7" w16cid:durableId="1030372326">
    <w:abstractNumId w:val="16"/>
  </w:num>
  <w:num w:numId="8" w16cid:durableId="1603879640">
    <w:abstractNumId w:val="8"/>
  </w:num>
  <w:num w:numId="9" w16cid:durableId="299193443">
    <w:abstractNumId w:val="2"/>
  </w:num>
  <w:num w:numId="10" w16cid:durableId="701708627">
    <w:abstractNumId w:val="22"/>
  </w:num>
  <w:num w:numId="11" w16cid:durableId="1434977271">
    <w:abstractNumId w:val="0"/>
  </w:num>
  <w:num w:numId="12" w16cid:durableId="2098281351">
    <w:abstractNumId w:val="9"/>
  </w:num>
  <w:num w:numId="13" w16cid:durableId="309789828">
    <w:abstractNumId w:val="21"/>
  </w:num>
  <w:num w:numId="14" w16cid:durableId="1503011170">
    <w:abstractNumId w:val="12"/>
  </w:num>
  <w:num w:numId="15" w16cid:durableId="590352849">
    <w:abstractNumId w:val="5"/>
  </w:num>
  <w:num w:numId="16" w16cid:durableId="1477533585">
    <w:abstractNumId w:val="23"/>
  </w:num>
  <w:num w:numId="17" w16cid:durableId="1817602366">
    <w:abstractNumId w:val="17"/>
  </w:num>
  <w:num w:numId="18" w16cid:durableId="1730108530">
    <w:abstractNumId w:val="19"/>
  </w:num>
  <w:num w:numId="19" w16cid:durableId="1928078991">
    <w:abstractNumId w:val="20"/>
  </w:num>
  <w:num w:numId="20" w16cid:durableId="1271471082">
    <w:abstractNumId w:val="10"/>
  </w:num>
  <w:num w:numId="21" w16cid:durableId="397287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98708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48912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488053">
    <w:abstractNumId w:val="6"/>
  </w:num>
  <w:num w:numId="25" w16cid:durableId="539372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05E03"/>
    <w:rsid w:val="00014682"/>
    <w:rsid w:val="00014EDE"/>
    <w:rsid w:val="000A69EB"/>
    <w:rsid w:val="000A74CC"/>
    <w:rsid w:val="000E3CE5"/>
    <w:rsid w:val="00155FA9"/>
    <w:rsid w:val="00156B7D"/>
    <w:rsid w:val="001A3F01"/>
    <w:rsid w:val="002131DC"/>
    <w:rsid w:val="00242419"/>
    <w:rsid w:val="00256436"/>
    <w:rsid w:val="00274EA2"/>
    <w:rsid w:val="00275DBE"/>
    <w:rsid w:val="002867B7"/>
    <w:rsid w:val="003044AA"/>
    <w:rsid w:val="003304DD"/>
    <w:rsid w:val="00356369"/>
    <w:rsid w:val="00374103"/>
    <w:rsid w:val="003B6C16"/>
    <w:rsid w:val="003E4CC9"/>
    <w:rsid w:val="003E65CF"/>
    <w:rsid w:val="00427581"/>
    <w:rsid w:val="004379E7"/>
    <w:rsid w:val="00446DAC"/>
    <w:rsid w:val="0047063E"/>
    <w:rsid w:val="004B45E2"/>
    <w:rsid w:val="004F089A"/>
    <w:rsid w:val="00503DB0"/>
    <w:rsid w:val="00507A65"/>
    <w:rsid w:val="00526545"/>
    <w:rsid w:val="00540ABD"/>
    <w:rsid w:val="00551006"/>
    <w:rsid w:val="00565C48"/>
    <w:rsid w:val="005704FE"/>
    <w:rsid w:val="005802DC"/>
    <w:rsid w:val="005A30CC"/>
    <w:rsid w:val="005A3629"/>
    <w:rsid w:val="005B6C97"/>
    <w:rsid w:val="005D375A"/>
    <w:rsid w:val="005D5BAE"/>
    <w:rsid w:val="00600734"/>
    <w:rsid w:val="006D49A5"/>
    <w:rsid w:val="006D6478"/>
    <w:rsid w:val="00710C6B"/>
    <w:rsid w:val="00710E3B"/>
    <w:rsid w:val="007234BD"/>
    <w:rsid w:val="00773F41"/>
    <w:rsid w:val="00835467"/>
    <w:rsid w:val="00837EEF"/>
    <w:rsid w:val="008519BA"/>
    <w:rsid w:val="00864009"/>
    <w:rsid w:val="00864521"/>
    <w:rsid w:val="00866CDB"/>
    <w:rsid w:val="008A658F"/>
    <w:rsid w:val="0090358F"/>
    <w:rsid w:val="009749CB"/>
    <w:rsid w:val="009A17A2"/>
    <w:rsid w:val="009E5E22"/>
    <w:rsid w:val="00A141D5"/>
    <w:rsid w:val="00A34921"/>
    <w:rsid w:val="00A426A1"/>
    <w:rsid w:val="00A47276"/>
    <w:rsid w:val="00A50845"/>
    <w:rsid w:val="00AE0290"/>
    <w:rsid w:val="00B31F3B"/>
    <w:rsid w:val="00B7672E"/>
    <w:rsid w:val="00BA3804"/>
    <w:rsid w:val="00C119E3"/>
    <w:rsid w:val="00C303B8"/>
    <w:rsid w:val="00C505B0"/>
    <w:rsid w:val="00C81C72"/>
    <w:rsid w:val="00CA5BA8"/>
    <w:rsid w:val="00D0565F"/>
    <w:rsid w:val="00D10D0B"/>
    <w:rsid w:val="00D230EF"/>
    <w:rsid w:val="00D441F1"/>
    <w:rsid w:val="00D44FBC"/>
    <w:rsid w:val="00D87F40"/>
    <w:rsid w:val="00D87F50"/>
    <w:rsid w:val="00D90132"/>
    <w:rsid w:val="00DC33DF"/>
    <w:rsid w:val="00F101F0"/>
    <w:rsid w:val="00F1541A"/>
    <w:rsid w:val="00F340AA"/>
    <w:rsid w:val="00F4789D"/>
    <w:rsid w:val="00F66485"/>
    <w:rsid w:val="00F801C4"/>
    <w:rsid w:val="00FB66CE"/>
    <w:rsid w:val="00FC344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710E3B"/>
  </w:style>
  <w:style w:type="paragraph" w:styleId="Tekstkomentarza">
    <w:name w:val="annotation text"/>
    <w:basedOn w:val="Normalny"/>
    <w:link w:val="TekstkomentarzaZnak"/>
    <w:uiPriority w:val="99"/>
    <w:unhideWhenUsed/>
    <w:rsid w:val="0090358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358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56B7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44A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44AA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44A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1315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 Basta</cp:lastModifiedBy>
  <cp:revision>2</cp:revision>
  <cp:lastPrinted>2023-01-31T09:42:00Z</cp:lastPrinted>
  <dcterms:created xsi:type="dcterms:W3CDTF">2023-03-01T11:48:00Z</dcterms:created>
  <dcterms:modified xsi:type="dcterms:W3CDTF">2023-03-01T11:48:00Z</dcterms:modified>
</cp:coreProperties>
</file>