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66" w:rsidRPr="00D72810" w:rsidRDefault="00176366" w:rsidP="00176366">
      <w:pPr>
        <w:jc w:val="center"/>
        <w:rPr>
          <w:rFonts w:ascii="Verdana" w:hAnsi="Verdana"/>
          <w:b/>
          <w:sz w:val="22"/>
          <w:szCs w:val="22"/>
        </w:rPr>
      </w:pPr>
      <w:r w:rsidRPr="00D72810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CB69B0" w:rsidRPr="00D72810" w:rsidRDefault="00CB69B0" w:rsidP="00CB69B0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66" w:rsidRPr="00D72810" w:rsidRDefault="00176366" w:rsidP="00176366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D72810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Nazwa przedmiotu (modułu) w języku polskim:</w:t>
            </w:r>
          </w:p>
          <w:p w:rsidR="00CB69B0" w:rsidRPr="00D72810" w:rsidRDefault="00176366">
            <w:pPr>
              <w:rPr>
                <w:rFonts w:ascii="Verdana" w:hAnsi="Verdana"/>
                <w:b/>
              </w:rPr>
            </w:pPr>
            <w:r w:rsidRPr="00D72810">
              <w:rPr>
                <w:rFonts w:ascii="Verdana" w:hAnsi="Verdana"/>
                <w:b/>
                <w:bCs/>
                <w:sz w:val="22"/>
                <w:szCs w:val="22"/>
              </w:rPr>
              <w:t>Monitoring IV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66" w:rsidRPr="00D72810" w:rsidRDefault="00176366" w:rsidP="00176366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D72810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Nazwa przedmiotu (modułu) w języku angielskim:</w:t>
            </w:r>
          </w:p>
          <w:p w:rsidR="00CB69B0" w:rsidRPr="00D72810" w:rsidRDefault="00CB69B0">
            <w:pPr>
              <w:rPr>
                <w:rFonts w:ascii="Verdana" w:hAnsi="Verdana"/>
                <w:b/>
              </w:rPr>
            </w:pPr>
            <w:r w:rsidRPr="00D72810">
              <w:rPr>
                <w:rFonts w:ascii="Verdana" w:hAnsi="Verdana"/>
                <w:b/>
                <w:bCs/>
                <w:sz w:val="22"/>
                <w:szCs w:val="22"/>
              </w:rPr>
              <w:t xml:space="preserve">Monitoring of </w:t>
            </w:r>
            <w:proofErr w:type="spellStart"/>
            <w:r w:rsidRPr="00D72810">
              <w:rPr>
                <w:rFonts w:ascii="Verdana" w:hAnsi="Verdana"/>
                <w:b/>
                <w:bCs/>
                <w:sz w:val="22"/>
                <w:szCs w:val="22"/>
              </w:rPr>
              <w:t>nature</w:t>
            </w:r>
            <w:proofErr w:type="spellEnd"/>
            <w:r w:rsidR="00176366" w:rsidRPr="00D72810">
              <w:rPr>
                <w:rFonts w:ascii="Verdana" w:hAnsi="Verdana"/>
                <w:b/>
                <w:sz w:val="22"/>
                <w:szCs w:val="22"/>
              </w:rPr>
              <w:t xml:space="preserve"> IV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66" w:rsidRPr="00D72810" w:rsidRDefault="00176366" w:rsidP="00176366">
            <w:pPr>
              <w:spacing w:line="276" w:lineRule="auto"/>
              <w:rPr>
                <w:rFonts w:ascii="Verdana" w:hAnsi="Verdana"/>
                <w:lang w:eastAsia="en-US"/>
              </w:rPr>
            </w:pPr>
            <w:r w:rsidRPr="00D72810">
              <w:rPr>
                <w:rFonts w:ascii="Verdana" w:hAnsi="Verdana"/>
                <w:sz w:val="22"/>
                <w:szCs w:val="22"/>
                <w:lang w:eastAsia="en-US"/>
              </w:rPr>
              <w:t>Jednostka prowadząca przedmiot:</w:t>
            </w:r>
          </w:p>
          <w:p w:rsidR="00CB69B0" w:rsidRPr="00D72810" w:rsidRDefault="00CB69B0">
            <w:pPr>
              <w:pStyle w:val="Tekstpodstawowy"/>
            </w:pPr>
            <w:r w:rsidRPr="00D72810">
              <w:rPr>
                <w:bCs/>
              </w:rPr>
              <w:t>W</w:t>
            </w:r>
            <w:r w:rsidR="00176366" w:rsidRPr="00D72810">
              <w:rPr>
                <w:bCs/>
              </w:rPr>
              <w:t xml:space="preserve">ydział </w:t>
            </w:r>
            <w:r w:rsidRPr="00D72810">
              <w:rPr>
                <w:bCs/>
              </w:rPr>
              <w:t>N</w:t>
            </w:r>
            <w:r w:rsidR="00176366" w:rsidRPr="00D72810">
              <w:rPr>
                <w:bCs/>
              </w:rPr>
              <w:t xml:space="preserve">auk </w:t>
            </w:r>
            <w:r w:rsidRPr="00D72810">
              <w:rPr>
                <w:bCs/>
              </w:rPr>
              <w:t>B</w:t>
            </w:r>
            <w:r w:rsidR="00176366" w:rsidRPr="00D72810">
              <w:rPr>
                <w:bCs/>
              </w:rPr>
              <w:t>iologicznych</w:t>
            </w:r>
            <w:r w:rsidRPr="00D72810">
              <w:rPr>
                <w:bCs/>
              </w:rPr>
              <w:t>, Katedra Bioróżnorodności i Ochrony Szaty Roślinnej; Katedra Biologii Ewolucyjnej i Ekologii: Zakład Biologii, Ewolucji i Ochrony Bezkręgowców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176366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Kod przedmiotu (modułu):</w:t>
            </w:r>
            <w:r w:rsidR="008032A8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76-OS-S1-E6-MonSrIV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Rodzaj przedmiotu: 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obowiązkowy 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>Ochrona Środowiska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Poziom studiów: I</w:t>
            </w:r>
            <w:r w:rsidR="00176366" w:rsidRPr="00D72810">
              <w:rPr>
                <w:rFonts w:ascii="Verdana" w:hAnsi="Verdana"/>
                <w:sz w:val="22"/>
                <w:szCs w:val="22"/>
              </w:rPr>
              <w:t xml:space="preserve"> stopień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Rok studiów: III</w:t>
            </w:r>
            <w:r w:rsidR="00176366" w:rsidRPr="00D72810"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66" w:rsidRPr="00D72810" w:rsidRDefault="00176366" w:rsidP="00176366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D72810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Forma zajęć kontaktowych i liczba godzin:</w:t>
            </w:r>
          </w:p>
          <w:p w:rsidR="00CB69B0" w:rsidRPr="00D72810" w:rsidRDefault="00176366">
            <w:pPr>
              <w:rPr>
                <w:rFonts w:ascii="Verdana" w:hAnsi="Verdana"/>
                <w:bCs/>
                <w:iCs/>
              </w:rPr>
            </w:pPr>
            <w:r w:rsidRPr="00D72810">
              <w:rPr>
                <w:rFonts w:ascii="Verdana" w:hAnsi="Verdana"/>
                <w:bCs/>
                <w:iCs/>
                <w:sz w:val="22"/>
                <w:szCs w:val="22"/>
              </w:rPr>
              <w:t>Wykłady – 5 godz</w:t>
            </w:r>
            <w:r w:rsidR="00CB69B0" w:rsidRPr="00D72810">
              <w:rPr>
                <w:rFonts w:ascii="Verdana" w:hAnsi="Verdana"/>
                <w:bCs/>
                <w:iCs/>
                <w:sz w:val="22"/>
                <w:szCs w:val="22"/>
              </w:rPr>
              <w:t>.</w:t>
            </w:r>
          </w:p>
          <w:p w:rsidR="00CB69B0" w:rsidRPr="00D72810" w:rsidRDefault="00176366">
            <w:pPr>
              <w:rPr>
                <w:rFonts w:ascii="Verdana" w:hAnsi="Verdana"/>
                <w:bCs/>
                <w:iCs/>
              </w:rPr>
            </w:pPr>
            <w:r w:rsidRPr="00D72810">
              <w:rPr>
                <w:rFonts w:ascii="Verdana" w:hAnsi="Verdana"/>
                <w:bCs/>
                <w:iCs/>
                <w:sz w:val="22"/>
                <w:szCs w:val="22"/>
              </w:rPr>
              <w:t>Ćwiczenia – 25 godz.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66" w:rsidRPr="00D72810" w:rsidRDefault="00176366" w:rsidP="00176366">
            <w:pPr>
              <w:spacing w:line="276" w:lineRule="auto"/>
              <w:rPr>
                <w:rFonts w:ascii="Verdana" w:hAnsi="Verdana"/>
                <w:color w:val="000000"/>
                <w:lang w:eastAsia="en-US"/>
              </w:rPr>
            </w:pPr>
            <w:r w:rsidRPr="00D72810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Imię, nazwisko, tytuł/stopień naukowy, osoby prowadzącej zajęcia:</w:t>
            </w:r>
          </w:p>
          <w:p w:rsidR="00176366" w:rsidRPr="00D72810" w:rsidRDefault="00176366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dr Ewa Szczęśniak, prof. dr hab. Dariusz Tarnawski, dr inż. Marcin </w:t>
            </w:r>
            <w:proofErr w:type="spellStart"/>
            <w:r w:rsidRPr="00D72810">
              <w:rPr>
                <w:rFonts w:ascii="Verdana" w:hAnsi="Verdana"/>
                <w:sz w:val="22"/>
                <w:szCs w:val="22"/>
              </w:rPr>
              <w:t>Kadej</w:t>
            </w:r>
            <w:proofErr w:type="spellEnd"/>
            <w:r w:rsidRPr="00D72810">
              <w:rPr>
                <w:rFonts w:ascii="Verdana" w:hAnsi="Verdana"/>
                <w:sz w:val="22"/>
                <w:szCs w:val="22"/>
              </w:rPr>
              <w:t xml:space="preserve">, </w:t>
            </w:r>
          </w:p>
          <w:p w:rsidR="00CB69B0" w:rsidRPr="00D72810" w:rsidRDefault="00176366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d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 xml:space="preserve">r Adrian </w:t>
            </w:r>
            <w:proofErr w:type="spellStart"/>
            <w:r w:rsidR="00CB69B0" w:rsidRPr="00D72810">
              <w:rPr>
                <w:rFonts w:ascii="Verdana" w:hAnsi="Verdana"/>
                <w:sz w:val="22"/>
                <w:szCs w:val="22"/>
              </w:rPr>
              <w:t>Smolis</w:t>
            </w:r>
            <w:proofErr w:type="spellEnd"/>
            <w:r w:rsidR="00CB69B0" w:rsidRPr="00D72810">
              <w:rPr>
                <w:rFonts w:ascii="Verdana" w:hAnsi="Verdana"/>
                <w:sz w:val="22"/>
                <w:szCs w:val="22"/>
              </w:rPr>
              <w:t xml:space="preserve">  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D72810" w:rsidP="005A04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  <w:lang w:eastAsia="en-US"/>
              </w:rPr>
              <w:t xml:space="preserve">Wymagania wstępne w zakresie wiedzy, umiejętności i kompetencji społecznych dla przedmiotu (modułu) oraz zrealizowanych przedmiotów: 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>ukończone kursy podstawowe z botaniki, zoologii, ekologii i ochrony środowiska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10" w:rsidRPr="00D72810" w:rsidRDefault="00CB69B0" w:rsidP="005A04B0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Cele przedmiotu: </w:t>
            </w:r>
          </w:p>
          <w:p w:rsidR="00CB69B0" w:rsidRPr="00D72810" w:rsidRDefault="00D72810" w:rsidP="005A04B0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>U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>zyskanie rozszerzonej wiedzy z zakresu monitoringu komponentów przyrodniczych, poznanie teoretycznych podstaw i praktycznych metod stosowanych w monitoringu siedlisk oraz gatunków roślin i zwierząt, w tym metod używanych w Państwowym Monitoringu Środowiska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CB69B0" w:rsidRPr="00D72810" w:rsidTr="00D728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CB69B0" w:rsidRPr="00D72810" w:rsidRDefault="00CB69B0">
            <w:pPr>
              <w:rPr>
                <w:rFonts w:ascii="Verdana" w:hAnsi="Verdana"/>
                <w:bCs/>
              </w:rPr>
            </w:pPr>
          </w:p>
          <w:p w:rsidR="00D72810" w:rsidRPr="00D72810" w:rsidRDefault="00D72810">
            <w:pPr>
              <w:rPr>
                <w:rFonts w:ascii="Verdana" w:hAnsi="Verdana"/>
                <w:bCs/>
              </w:rPr>
            </w:pPr>
          </w:p>
          <w:p w:rsidR="00CB69B0" w:rsidRPr="00D72810" w:rsidRDefault="00D72810">
            <w:pPr>
              <w:rPr>
                <w:rFonts w:ascii="Verdana" w:hAnsi="Verdana"/>
                <w:bCs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>P_W01 Ma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 wiedzę o podstawach prawnych i organizacyjnych monitoringu, zna stosowne dyrektywy oraz akty prawne. </w:t>
            </w:r>
          </w:p>
          <w:p w:rsidR="00D72810" w:rsidRDefault="00D72810">
            <w:pPr>
              <w:rPr>
                <w:rFonts w:ascii="Verdana" w:hAnsi="Verdana" w:cs="Arial"/>
                <w:bCs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P_W02 </w:t>
            </w:r>
            <w:r>
              <w:rPr>
                <w:rFonts w:ascii="Verdana" w:hAnsi="Verdana"/>
                <w:bCs/>
                <w:sz w:val="22"/>
                <w:szCs w:val="22"/>
              </w:rPr>
              <w:t>R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>ozumie czynniki</w:t>
            </w:r>
            <w:r w:rsidRPr="00D72810">
              <w:rPr>
                <w:rFonts w:ascii="Verdana" w:hAnsi="Verdana" w:cs="Arial"/>
                <w:bCs/>
                <w:sz w:val="22"/>
                <w:szCs w:val="22"/>
              </w:rPr>
              <w:t xml:space="preserve"> i procesy wpływające na stan ochrony siedlisk i gatunków. </w:t>
            </w:r>
          </w:p>
          <w:p w:rsidR="00D72810" w:rsidRDefault="00D72810">
            <w:pPr>
              <w:rPr>
                <w:rFonts w:ascii="Verdana" w:hAnsi="Verdana" w:cs="Arial"/>
                <w:bCs/>
              </w:rPr>
            </w:pPr>
          </w:p>
          <w:p w:rsidR="00CB69B0" w:rsidRPr="00D72810" w:rsidRDefault="00D72810">
            <w:pPr>
              <w:rPr>
                <w:rFonts w:ascii="Verdana" w:hAnsi="Verdana"/>
                <w:bCs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P_U01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>P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otrafi zaplanować, przedstawić i przedyskutować program monitoringu wybranego gatunku i siedliska przyrodniczego. </w:t>
            </w:r>
          </w:p>
          <w:p w:rsidR="00CB69B0" w:rsidRPr="00D72810" w:rsidRDefault="00D72810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P_U02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 P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otrafi przeprowadzić monitoring wskazanego gatunku lub siedliska </w:t>
            </w:r>
            <w:proofErr w:type="spellStart"/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>naturowego</w:t>
            </w:r>
            <w:proofErr w:type="spellEnd"/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 oraz ocenić stan jego ochrony w oparciu o k</w:t>
            </w:r>
            <w:r>
              <w:rPr>
                <w:rFonts w:ascii="Verdana" w:hAnsi="Verdana"/>
                <w:bCs/>
                <w:sz w:val="22"/>
                <w:szCs w:val="22"/>
              </w:rPr>
              <w:t>rajowe wytyczne w tym zakresie.</w:t>
            </w:r>
          </w:p>
          <w:p w:rsidR="00CB69B0" w:rsidRPr="00D72810" w:rsidRDefault="00D72810">
            <w:pPr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P_U03 P</w:t>
            </w:r>
            <w:r w:rsidR="00CB69B0" w:rsidRPr="00D72810">
              <w:rPr>
                <w:rFonts w:ascii="Verdana" w:hAnsi="Verdana" w:cs="Arial"/>
                <w:bCs/>
                <w:sz w:val="22"/>
                <w:szCs w:val="22"/>
              </w:rPr>
              <w:t xml:space="preserve">otrafi wykonać </w:t>
            </w:r>
            <w:proofErr w:type="spellStart"/>
            <w:r w:rsidR="00CB69B0" w:rsidRPr="00D72810">
              <w:rPr>
                <w:rFonts w:ascii="Verdana" w:hAnsi="Verdana" w:cs="Arial"/>
                <w:bCs/>
                <w:sz w:val="22"/>
                <w:szCs w:val="22"/>
              </w:rPr>
              <w:t>biomonitoring</w:t>
            </w:r>
            <w:proofErr w:type="spellEnd"/>
            <w:r w:rsidR="00CB69B0" w:rsidRPr="00D72810">
              <w:rPr>
                <w:rFonts w:ascii="Verdana" w:hAnsi="Verdana" w:cs="Arial"/>
                <w:bCs/>
                <w:sz w:val="22"/>
                <w:szCs w:val="22"/>
              </w:rPr>
              <w:t xml:space="preserve"> wybranego rodzaju wód.</w:t>
            </w:r>
          </w:p>
          <w:p w:rsidR="00CB69B0" w:rsidRPr="00D72810" w:rsidRDefault="00CB69B0">
            <w:pPr>
              <w:pStyle w:val="Tekstpodstawowy"/>
              <w:rPr>
                <w:bCs/>
              </w:rPr>
            </w:pPr>
          </w:p>
          <w:p w:rsidR="00CB69B0" w:rsidRPr="00D72810" w:rsidRDefault="00D72810">
            <w:pPr>
              <w:rPr>
                <w:rFonts w:ascii="Verdana" w:hAnsi="Verdana"/>
                <w:i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lastRenderedPageBreak/>
              <w:t>P_K01 Wykazuje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 zrozumienie dla potrzeby kontroli stanu zagrożonych siedlisk i gatunków, jednocześnie krytycznie analizuje dostępne dane źródłowe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10" w:rsidRPr="00D72810" w:rsidRDefault="00D72810" w:rsidP="00D72810">
            <w:pPr>
              <w:tabs>
                <w:tab w:val="left" w:pos="3024"/>
              </w:tabs>
              <w:spacing w:line="276" w:lineRule="auto"/>
              <w:rPr>
                <w:rFonts w:ascii="Verdana" w:hAnsi="Verdana"/>
                <w:lang w:eastAsia="en-US"/>
              </w:rPr>
            </w:pPr>
            <w:r w:rsidRPr="00D72810">
              <w:rPr>
                <w:rFonts w:ascii="Verdana" w:hAnsi="Verdana"/>
                <w:sz w:val="22"/>
                <w:szCs w:val="22"/>
                <w:lang w:eastAsia="en-US"/>
              </w:rPr>
              <w:lastRenderedPageBreak/>
              <w:t>Symbole kierunkowych efektów kształcenia:</w:t>
            </w: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K_W08, K_W16</w:t>
            </w: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K_W02</w:t>
            </w:r>
          </w:p>
          <w:p w:rsidR="00CB69B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7281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7281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K_U01, K_U11</w:t>
            </w: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K_U04, K_U09</w:t>
            </w: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K_U02, K_U08</w:t>
            </w:r>
          </w:p>
          <w:p w:rsid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7281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7281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K_K01, K_K03</w:t>
            </w: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B69B0" w:rsidRPr="00D72810" w:rsidRDefault="00CB69B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D72810" w:rsidRP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I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dea i znaczenie monitoringu przyrodniczego dla s</w:t>
            </w: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kutecznej ochrony przyrody.</w:t>
            </w:r>
          </w:p>
          <w:p w:rsidR="00D72810" w:rsidRP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P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odstawy prawn</w:t>
            </w: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e i procedury w monitoringu.</w:t>
            </w:r>
          </w:p>
          <w:p w:rsidR="00D72810" w:rsidRP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W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skaźniki stanu ochrony siedliska i gatunku,</w:t>
            </w: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 xml:space="preserve"> w tym wskaźniki kardynalne.</w:t>
            </w:r>
          </w:p>
          <w:p w:rsid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O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 xml:space="preserve">cena stanu ochrony </w:t>
            </w:r>
            <w:r w:rsidR="00CB69B0" w:rsidRPr="00D72810">
              <w:rPr>
                <w:rFonts w:ascii="Verdana" w:hAnsi="Verdana" w:cs="Arial"/>
                <w:bCs/>
                <w:sz w:val="22"/>
                <w:szCs w:val="22"/>
              </w:rPr>
              <w:t>i zagrożeń dla sie</w:t>
            </w:r>
            <w:r>
              <w:rPr>
                <w:rFonts w:ascii="Verdana" w:hAnsi="Verdana" w:cs="Arial"/>
                <w:bCs/>
                <w:sz w:val="22"/>
                <w:szCs w:val="22"/>
              </w:rPr>
              <w:t>dlisk i gatunków chronionych.</w:t>
            </w:r>
          </w:p>
          <w:p w:rsidR="00D72810" w:rsidRP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  <w:sz w:val="22"/>
                <w:szCs w:val="22"/>
              </w:rPr>
              <w:t>S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iedliska przyrodn</w:t>
            </w: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icze i gatunki Natura 2000.</w:t>
            </w:r>
          </w:p>
          <w:p w:rsidR="00CB69B0" w:rsidRPr="00D72810" w:rsidRDefault="00D72810" w:rsidP="00D72810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D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  <w:shd w:val="clear" w:color="auto" w:fill="FFFFFF"/>
              </w:rPr>
              <w:t>yrektywa wodna, wskaźniki i parametry oceny stanu ekologicznego wód.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Zalecana literatura (wybrane rozdziały):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Głowaciński Z (red.), 2001. Polska Czerwona Księga Zwierząt – Kręgowce. Instytut Ochrony Przyrody PAN.  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Głowaciński Z., Nowacki J. (red.), 2004. Polska Czerwona Księga Zwierząt – Bezkręgowce. Instytut Ochrony Przyrody PAN, Akademia Rolnicza im. A. Cieszkowskiego.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</w:rPr>
            </w:pPr>
            <w:proofErr w:type="spellStart"/>
            <w:r w:rsidRPr="00D72810">
              <w:rPr>
                <w:rFonts w:ascii="Verdana" w:hAnsi="Verdana"/>
                <w:sz w:val="22"/>
                <w:szCs w:val="22"/>
              </w:rPr>
              <w:t>Pullin</w:t>
            </w:r>
            <w:proofErr w:type="spellEnd"/>
            <w:r w:rsidRPr="00D72810">
              <w:rPr>
                <w:rFonts w:ascii="Verdana" w:hAnsi="Verdana"/>
                <w:sz w:val="22"/>
                <w:szCs w:val="22"/>
              </w:rPr>
              <w:t xml:space="preserve"> A. S. 2004. (przekład pod redakcją J. Weinera). Biologiczne podstawy ochrony przyrody. Wydawnictwo Naukowe PWN.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  <w:bCs/>
              </w:rPr>
            </w:pPr>
            <w:proofErr w:type="spellStart"/>
            <w:r w:rsidRPr="00D72810">
              <w:rPr>
                <w:rFonts w:ascii="Verdana" w:hAnsi="Verdana"/>
                <w:bCs/>
                <w:sz w:val="22"/>
                <w:szCs w:val="22"/>
              </w:rPr>
              <w:t>Symonides</w:t>
            </w:r>
            <w:proofErr w:type="spellEnd"/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 E. 2008. Ochrona przyrody, WUW.: 768 ss.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>Szyszko J., Rylke J., Jeżowski D. (red.), 2002: Ocena i wycena zasobów przyrodniczych. Wyd. SGGW, Warszawa.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Przewodniki metodyczne </w:t>
            </w:r>
            <w:r w:rsidR="00EF0808">
              <w:rPr>
                <w:rFonts w:ascii="Verdana" w:hAnsi="Verdana"/>
                <w:bCs/>
                <w:sz w:val="22"/>
                <w:szCs w:val="22"/>
              </w:rPr>
              <w:t>monitoringu gatunków i siedlisk</w:t>
            </w:r>
            <w:bookmarkStart w:id="0" w:name="_GoBack"/>
            <w:bookmarkEnd w:id="0"/>
            <w:r w:rsidR="00EF0808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>publikowane przez IOP na zlecenie Głównego Inspektoratu Ochrony Środowiska.</w:t>
            </w:r>
          </w:p>
          <w:p w:rsidR="00CB69B0" w:rsidRPr="00D72810" w:rsidRDefault="00CB69B0" w:rsidP="00D72810">
            <w:pPr>
              <w:pStyle w:val="Akapitzlist"/>
              <w:numPr>
                <w:ilvl w:val="0"/>
                <w:numId w:val="3"/>
              </w:numPr>
              <w:ind w:left="378"/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Andrzejewski R., </w:t>
            </w:r>
            <w:proofErr w:type="spellStart"/>
            <w:r w:rsidRPr="00D72810">
              <w:rPr>
                <w:rFonts w:ascii="Verdana" w:hAnsi="Verdana"/>
                <w:bCs/>
                <w:sz w:val="22"/>
                <w:szCs w:val="22"/>
              </w:rPr>
              <w:t>Weigle</w:t>
            </w:r>
            <w:proofErr w:type="spellEnd"/>
            <w:r w:rsidRPr="00D72810">
              <w:rPr>
                <w:rFonts w:ascii="Verdana" w:hAnsi="Verdana"/>
                <w:bCs/>
                <w:sz w:val="22"/>
                <w:szCs w:val="22"/>
              </w:rPr>
              <w:t xml:space="preserve"> A. 2003. Różnorodność biologiczna Polski. Narodowa Fundacja Ochrony Środowiska: 284 ss.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pStyle w:val="Tekstpodstawowy"/>
            </w:pPr>
            <w:r w:rsidRPr="00D72810">
              <w:t>Forma zaliczenia komponentów:</w:t>
            </w:r>
          </w:p>
          <w:p w:rsidR="00CB69B0" w:rsidRPr="00D72810" w:rsidRDefault="00D72810">
            <w:pPr>
              <w:pStyle w:val="Tekstpodstawowy"/>
            </w:pPr>
            <w:r>
              <w:t>w</w:t>
            </w:r>
            <w:r w:rsidR="00CB69B0" w:rsidRPr="00D72810">
              <w:t>ykład – wprowadzenie, oceniany łącznie z ćwiczeniami;</w:t>
            </w:r>
          </w:p>
          <w:p w:rsidR="00CB69B0" w:rsidRPr="00D72810" w:rsidRDefault="00D72810" w:rsidP="00D7281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ć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wiczenia – prezentacja, 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 xml:space="preserve">projekt i sprawdzian praktyczny 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P_W01, P_W02, P_U01, P_U02, P_U03, P_K01</w:t>
            </w:r>
            <w:r w:rsidR="00CB69B0" w:rsidRPr="00D72810">
              <w:rPr>
                <w:rFonts w:ascii="Verdana" w:hAnsi="Verdana"/>
                <w:sz w:val="22"/>
                <w:szCs w:val="22"/>
              </w:rPr>
              <w:t>)</w:t>
            </w:r>
            <w:r w:rsidR="00CB69B0" w:rsidRPr="00D72810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</w:tc>
      </w:tr>
      <w:tr w:rsidR="00CB69B0" w:rsidRPr="00D72810" w:rsidTr="00CB69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Język wykładowy: </w:t>
            </w:r>
            <w:r w:rsidRPr="00D72810">
              <w:rPr>
                <w:rFonts w:ascii="Verdana" w:hAnsi="Verdana"/>
                <w:bCs/>
                <w:sz w:val="22"/>
                <w:szCs w:val="22"/>
              </w:rPr>
              <w:t>polski</w:t>
            </w:r>
          </w:p>
        </w:tc>
      </w:tr>
    </w:tbl>
    <w:p w:rsidR="00CB69B0" w:rsidRPr="00D72810" w:rsidRDefault="00CB69B0" w:rsidP="00CB69B0">
      <w:pPr>
        <w:jc w:val="both"/>
        <w:rPr>
          <w:rFonts w:ascii="Verdana" w:hAnsi="Verdana"/>
          <w:sz w:val="22"/>
          <w:szCs w:val="22"/>
        </w:rPr>
      </w:pPr>
      <w:r w:rsidRPr="00D72810">
        <w:rPr>
          <w:rFonts w:ascii="Verdana" w:hAnsi="Verdana"/>
          <w:sz w:val="22"/>
          <w:szCs w:val="22"/>
        </w:rPr>
        <w:t>19. Obciążenie pracą studenta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CB69B0" w:rsidRPr="00D72810" w:rsidTr="001579B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center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CB69B0" w:rsidRPr="00D72810" w:rsidTr="001579B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Godziny zajęć (wg planu studiów)</w:t>
            </w:r>
            <w:r w:rsidR="00D7281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72810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wykład:</w:t>
            </w:r>
            <w:r w:rsidR="00D72810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ćwiczenia:</w:t>
            </w:r>
            <w:r w:rsidR="00D72810">
              <w:rPr>
                <w:rFonts w:ascii="Verdana" w:hAnsi="Verdana"/>
                <w:sz w:val="22"/>
                <w:szCs w:val="22"/>
              </w:rPr>
              <w:t xml:space="preserve"> 25</w:t>
            </w:r>
          </w:p>
          <w:p w:rsidR="00CB69B0" w:rsidRPr="00D72810" w:rsidRDefault="00CB69B0">
            <w:pPr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konsultacje:</w:t>
            </w:r>
            <w:r w:rsidR="00C1100F">
              <w:rPr>
                <w:rFonts w:ascii="Verdana" w:hAnsi="Verdana"/>
                <w:sz w:val="22"/>
                <w:szCs w:val="22"/>
              </w:rPr>
              <w:t xml:space="preserve">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</w:p>
          <w:p w:rsidR="00CB69B0" w:rsidRPr="00D72810" w:rsidRDefault="00C1100F">
            <w:pPr>
              <w:jc w:val="both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sz w:val="22"/>
                <w:szCs w:val="22"/>
              </w:rPr>
              <w:t>40</w:t>
            </w:r>
          </w:p>
        </w:tc>
      </w:tr>
      <w:tr w:rsidR="00CB69B0" w:rsidRPr="00D72810" w:rsidTr="001579B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D72810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D72810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CB69B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- przygotowanie prezentacji, projektu:</w:t>
            </w:r>
            <w:r w:rsidR="00C1100F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C1100F" w:rsidRPr="00D72810" w:rsidRDefault="00C110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zaliczenia: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B0" w:rsidRPr="00D72810" w:rsidRDefault="00C1100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</w:tc>
      </w:tr>
      <w:tr w:rsidR="00CB69B0" w:rsidRPr="00D72810" w:rsidTr="001579B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Suma godzin: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1100F">
            <w:pPr>
              <w:jc w:val="both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75</w:t>
            </w:r>
          </w:p>
        </w:tc>
      </w:tr>
      <w:tr w:rsidR="00CB69B0" w:rsidRPr="00D72810" w:rsidTr="001579B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B69B0">
            <w:pPr>
              <w:jc w:val="both"/>
              <w:rPr>
                <w:rFonts w:ascii="Verdana" w:hAnsi="Verdana"/>
              </w:rPr>
            </w:pPr>
            <w:r w:rsidRPr="00D72810">
              <w:rPr>
                <w:rFonts w:ascii="Verdana" w:hAnsi="Verdana"/>
                <w:sz w:val="22"/>
                <w:szCs w:val="22"/>
              </w:rPr>
              <w:t>Liczba punktów ECTS: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9B0" w:rsidRPr="00D72810" w:rsidRDefault="00C1100F">
            <w:pPr>
              <w:jc w:val="both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3</w:t>
            </w:r>
          </w:p>
        </w:tc>
      </w:tr>
    </w:tbl>
    <w:p w:rsidR="004741B0" w:rsidRPr="00D72810" w:rsidRDefault="004741B0">
      <w:pPr>
        <w:rPr>
          <w:rFonts w:ascii="Verdana" w:hAnsi="Verdana"/>
          <w:sz w:val="22"/>
          <w:szCs w:val="22"/>
        </w:rPr>
      </w:pPr>
    </w:p>
    <w:sectPr w:rsidR="004741B0" w:rsidRPr="00D72810" w:rsidSect="00EA4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3F71B7"/>
    <w:multiLevelType w:val="hybridMultilevel"/>
    <w:tmpl w:val="B8367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70FA"/>
    <w:rsid w:val="001579BF"/>
    <w:rsid w:val="00176366"/>
    <w:rsid w:val="004741B0"/>
    <w:rsid w:val="004A70FA"/>
    <w:rsid w:val="005A04B0"/>
    <w:rsid w:val="008032A8"/>
    <w:rsid w:val="00902FC5"/>
    <w:rsid w:val="00C1100F"/>
    <w:rsid w:val="00CB69B0"/>
    <w:rsid w:val="00D72810"/>
    <w:rsid w:val="00EA452C"/>
    <w:rsid w:val="00EF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Tekstpodstawowy">
    <w:name w:val="Body Text"/>
    <w:basedOn w:val="Normalny"/>
    <w:link w:val="TekstpodstawowyZnak"/>
    <w:unhideWhenUsed/>
    <w:rsid w:val="00CB69B0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B69B0"/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72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Tekstpodstawowy">
    <w:name w:val="Body Text"/>
    <w:basedOn w:val="Normalny"/>
    <w:link w:val="TekstpodstawowyZnak"/>
    <w:unhideWhenUsed/>
    <w:rsid w:val="00CB69B0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B69B0"/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D728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11</cp:revision>
  <cp:lastPrinted>2014-04-01T11:41:00Z</cp:lastPrinted>
  <dcterms:created xsi:type="dcterms:W3CDTF">2013-05-21T12:09:00Z</dcterms:created>
  <dcterms:modified xsi:type="dcterms:W3CDTF">2014-04-01T11:41:00Z</dcterms:modified>
</cp:coreProperties>
</file>